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31" w:rsidRDefault="00ED4A31" w:rsidP="00ED4A31">
      <w:pPr>
        <w:jc w:val="center"/>
      </w:pPr>
      <w:r>
        <w:rPr>
          <w:rFonts w:hint="eastAsia"/>
        </w:rPr>
        <w:t>横浜市福祉のまちづくり条例施行規則</w:t>
      </w:r>
    </w:p>
    <w:p w:rsidR="00ED4A31" w:rsidRDefault="00ED4A31" w:rsidP="00ED4A31">
      <w:pPr>
        <w:jc w:val="center"/>
      </w:pPr>
      <w:r>
        <w:rPr>
          <w:rFonts w:hint="eastAsia"/>
        </w:rPr>
        <w:t>改正案本文（改正箇所）</w:t>
      </w:r>
    </w:p>
    <w:p w:rsidR="00ED4A31" w:rsidRDefault="00ED4A31"/>
    <w:p w:rsidR="00ED4A31" w:rsidRDefault="00ED4A31" w:rsidP="00ED4A31">
      <w:pPr>
        <w:numPr>
          <w:ilvl w:val="0"/>
          <w:numId w:val="1"/>
        </w:numPr>
        <w:tabs>
          <w:tab w:val="left" w:pos="5040"/>
          <w:tab w:val="left" w:pos="6720"/>
        </w:tabs>
        <w:spacing w:line="280" w:lineRule="exact"/>
        <w:rPr>
          <w:color w:val="000000"/>
        </w:rPr>
      </w:pPr>
      <w:r w:rsidRPr="00172873">
        <w:rPr>
          <w:rFonts w:hint="eastAsia"/>
          <w:color w:val="000000"/>
          <w:u w:val="single"/>
        </w:rPr>
        <w:t>下線</w:t>
      </w:r>
      <w:r w:rsidRPr="00172873">
        <w:rPr>
          <w:rFonts w:hint="eastAsia"/>
          <w:color w:val="000000"/>
        </w:rPr>
        <w:t>部分が改正部分</w:t>
      </w:r>
    </w:p>
    <w:p w:rsidR="00A66F55" w:rsidRPr="00ED4A31" w:rsidRDefault="00A66F55" w:rsidP="00A66F55">
      <w:pPr>
        <w:tabs>
          <w:tab w:val="left" w:pos="5040"/>
          <w:tab w:val="left" w:pos="6720"/>
        </w:tabs>
        <w:spacing w:line="28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237"/>
      </w:tblGrid>
      <w:tr w:rsidR="00ED4A31" w:rsidRPr="00287E47" w:rsidTr="00ED4A31">
        <w:trPr>
          <w:trHeight w:val="423"/>
        </w:trPr>
        <w:tc>
          <w:tcPr>
            <w:tcW w:w="8364" w:type="dxa"/>
            <w:gridSpan w:val="2"/>
            <w:tcBorders>
              <w:top w:val="nil"/>
              <w:left w:val="nil"/>
              <w:right w:val="nil"/>
            </w:tcBorders>
            <w:shd w:val="clear" w:color="auto" w:fill="auto"/>
            <w:vAlign w:val="center"/>
          </w:tcPr>
          <w:p w:rsidR="00ED4A31" w:rsidRPr="00287E47" w:rsidRDefault="00ED4A31" w:rsidP="00617B4C">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t>別表第８（第４条第２項）　公共交通機関の施設に関する指定施設整備基準</w:t>
            </w:r>
          </w:p>
          <w:p w:rsidR="00ED4A31" w:rsidRPr="00287E47" w:rsidRDefault="00ED4A31" w:rsidP="00617B4C">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t>（平</w:t>
            </w:r>
            <w:r w:rsidRPr="00287E47">
              <w:rPr>
                <w:rFonts w:ascii="ＭＳ 明朝" w:hAnsi="ＭＳ 明朝"/>
                <w:color w:val="000000"/>
                <w:sz w:val="20"/>
                <w:szCs w:val="20"/>
              </w:rPr>
              <w:t>16</w:t>
            </w:r>
            <w:r w:rsidRPr="00287E47">
              <w:rPr>
                <w:rFonts w:ascii="ＭＳ 明朝" w:hAnsi="ＭＳ 明朝" w:hint="eastAsia"/>
                <w:color w:val="000000"/>
                <w:sz w:val="20"/>
                <w:szCs w:val="20"/>
              </w:rPr>
              <w:t>規則</w:t>
            </w:r>
            <w:r w:rsidRPr="00287E47">
              <w:rPr>
                <w:rFonts w:ascii="ＭＳ 明朝" w:hAnsi="ＭＳ 明朝"/>
                <w:color w:val="000000"/>
                <w:sz w:val="20"/>
                <w:szCs w:val="20"/>
              </w:rPr>
              <w:t>103</w:t>
            </w:r>
            <w:r w:rsidRPr="00287E47">
              <w:rPr>
                <w:rFonts w:ascii="ＭＳ 明朝" w:hAnsi="ＭＳ 明朝" w:hint="eastAsia"/>
                <w:color w:val="000000"/>
                <w:sz w:val="20"/>
                <w:szCs w:val="20"/>
              </w:rPr>
              <w:t>・平</w:t>
            </w:r>
            <w:r w:rsidRPr="00287E47">
              <w:rPr>
                <w:rFonts w:ascii="ＭＳ 明朝" w:hAnsi="ＭＳ 明朝"/>
                <w:color w:val="000000"/>
                <w:sz w:val="20"/>
                <w:szCs w:val="20"/>
              </w:rPr>
              <w:t>20</w:t>
            </w:r>
            <w:r w:rsidRPr="00287E47">
              <w:rPr>
                <w:rFonts w:ascii="ＭＳ 明朝" w:hAnsi="ＭＳ 明朝" w:hint="eastAsia"/>
                <w:color w:val="000000"/>
                <w:sz w:val="20"/>
                <w:szCs w:val="20"/>
              </w:rPr>
              <w:t>規則８・平</w:t>
            </w:r>
            <w:r w:rsidRPr="00287E47">
              <w:rPr>
                <w:rFonts w:ascii="ＭＳ 明朝" w:hAnsi="ＭＳ 明朝"/>
                <w:color w:val="000000"/>
                <w:sz w:val="20"/>
                <w:szCs w:val="20"/>
              </w:rPr>
              <w:t>25</w:t>
            </w:r>
            <w:r w:rsidRPr="00287E47">
              <w:rPr>
                <w:rFonts w:ascii="ＭＳ 明朝" w:hAnsi="ＭＳ 明朝" w:hint="eastAsia"/>
                <w:color w:val="000000"/>
                <w:sz w:val="20"/>
                <w:szCs w:val="20"/>
              </w:rPr>
              <w:t>規則</w:t>
            </w:r>
            <w:r w:rsidRPr="00287E47">
              <w:rPr>
                <w:rFonts w:ascii="ＭＳ 明朝" w:hAnsi="ＭＳ 明朝"/>
                <w:color w:val="000000"/>
                <w:sz w:val="20"/>
                <w:szCs w:val="20"/>
              </w:rPr>
              <w:t>68</w:t>
            </w:r>
            <w:r w:rsidRPr="00287E47">
              <w:rPr>
                <w:rFonts w:ascii="ＭＳ 明朝" w:hAnsi="ＭＳ 明朝" w:hint="eastAsia"/>
                <w:color w:val="000000"/>
                <w:sz w:val="20"/>
                <w:szCs w:val="20"/>
              </w:rPr>
              <w:t>・</w:t>
            </w:r>
            <w:r>
              <w:rPr>
                <w:rFonts w:ascii="ＭＳ 明朝" w:hAnsi="ＭＳ 明朝" w:hint="eastAsia"/>
                <w:color w:val="000000"/>
                <w:sz w:val="20"/>
                <w:szCs w:val="20"/>
              </w:rPr>
              <w:t>令元規則19</w:t>
            </w:r>
            <w:r w:rsidRPr="00287E47">
              <w:rPr>
                <w:rFonts w:ascii="ＭＳ 明朝" w:hAnsi="ＭＳ 明朝" w:hint="eastAsia"/>
                <w:color w:val="000000"/>
                <w:sz w:val="20"/>
                <w:szCs w:val="20"/>
              </w:rPr>
              <w:t>一部改正）</w:t>
            </w:r>
          </w:p>
        </w:tc>
      </w:tr>
      <w:tr w:rsidR="00ED4A31" w:rsidRPr="00DC23FA" w:rsidTr="00ED4A31">
        <w:trPr>
          <w:trHeight w:val="329"/>
        </w:trPr>
        <w:tc>
          <w:tcPr>
            <w:tcW w:w="2127" w:type="dxa"/>
            <w:shd w:val="clear" w:color="auto" w:fill="auto"/>
            <w:vAlign w:val="center"/>
          </w:tcPr>
          <w:p w:rsidR="00ED4A31" w:rsidRPr="00DC23FA" w:rsidRDefault="00ED4A31" w:rsidP="00617B4C">
            <w:pPr>
              <w:spacing w:line="240" w:lineRule="exact"/>
              <w:jc w:val="left"/>
              <w:rPr>
                <w:rFonts w:ascii="ＭＳ 明朝" w:hAnsi="ＭＳ 明朝"/>
                <w:color w:val="000000"/>
                <w:sz w:val="20"/>
                <w:szCs w:val="20"/>
              </w:rPr>
            </w:pPr>
            <w:r w:rsidRPr="00DC23FA">
              <w:rPr>
                <w:rFonts w:ascii="ＭＳ 明朝" w:hAnsi="ＭＳ 明朝" w:hint="eastAsia"/>
                <w:color w:val="000000"/>
                <w:sz w:val="20"/>
                <w:szCs w:val="20"/>
              </w:rPr>
              <w:t>整備項目</w:t>
            </w:r>
          </w:p>
        </w:tc>
        <w:tc>
          <w:tcPr>
            <w:tcW w:w="6237" w:type="dxa"/>
            <w:shd w:val="clear" w:color="auto" w:fill="auto"/>
            <w:vAlign w:val="center"/>
          </w:tcPr>
          <w:p w:rsidR="00ED4A31" w:rsidRPr="00DC23FA"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rPr>
              <w:t>指定施設整備</w:t>
            </w:r>
            <w:r w:rsidRPr="00DC23FA">
              <w:rPr>
                <w:rFonts w:ascii="ＭＳ 明朝" w:hAnsi="ＭＳ 明朝" w:hint="eastAsia"/>
                <w:color w:val="000000"/>
                <w:sz w:val="20"/>
                <w:szCs w:val="20"/>
              </w:rPr>
              <w:t>基準</w:t>
            </w:r>
          </w:p>
        </w:tc>
      </w:tr>
      <w:tr w:rsidR="00ED4A31" w:rsidRPr="00A0042A" w:rsidTr="00ED4A31">
        <w:trPr>
          <w:trHeight w:val="1334"/>
        </w:trPr>
        <w:tc>
          <w:tcPr>
            <w:tcW w:w="2127" w:type="dxa"/>
            <w:shd w:val="clear" w:color="auto" w:fill="auto"/>
          </w:tcPr>
          <w:p w:rsidR="00ED4A31" w:rsidRPr="000F0E4C" w:rsidRDefault="00ED4A31" w:rsidP="00617B4C">
            <w:pPr>
              <w:spacing w:line="240" w:lineRule="exact"/>
              <w:ind w:left="200" w:hangingChars="100" w:hanging="200"/>
              <w:jc w:val="left"/>
              <w:rPr>
                <w:rFonts w:ascii="ＭＳ 明朝" w:hAnsi="ＭＳ 明朝"/>
                <w:color w:val="000000"/>
                <w:sz w:val="20"/>
                <w:szCs w:val="20"/>
                <w:u w:val="single"/>
              </w:rPr>
            </w:pPr>
            <w:r w:rsidRPr="000F0E4C">
              <w:rPr>
                <w:rFonts w:ascii="ＭＳ 明朝" w:hAnsi="ＭＳ 明朝" w:hint="eastAsia"/>
                <w:color w:val="000000"/>
                <w:sz w:val="20"/>
                <w:szCs w:val="20"/>
                <w:u w:val="single"/>
              </w:rPr>
              <w:t>１　移動等円滑化された経路</w:t>
            </w:r>
          </w:p>
        </w:tc>
        <w:tc>
          <w:tcPr>
            <w:tcW w:w="6237" w:type="dxa"/>
            <w:shd w:val="clear" w:color="auto" w:fill="auto"/>
          </w:tcPr>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(1) </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公共用通路(公共交通機関の施設の営業時間内において常時一般交通の用に供されている一般交通用施設であって当該施設の外部にあるものをいう。以下同じ。)と車両等の乗降口との間の経路であって、高齢者、障害者等の円滑な通行に適するもの(以下「移動等円滑化された経路」という。)を、乗降場ごとに１以上設けなければならない。</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(2)</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w:t>
            </w:r>
            <w:r w:rsidRPr="00163B5B">
              <w:rPr>
                <w:rFonts w:ascii="ＭＳ 明朝" w:hAnsi="ＭＳ 明朝"/>
                <w:color w:val="000000"/>
                <w:sz w:val="20"/>
                <w:szCs w:val="20"/>
                <w:u w:val="single"/>
              </w:rPr>
              <w:t>1</w:t>
            </w:r>
            <w:r w:rsidRPr="00163B5B">
              <w:rPr>
                <w:rFonts w:ascii="ＭＳ 明朝" w:hAnsi="ＭＳ 明朝" w:hint="eastAsia"/>
                <w:color w:val="000000"/>
                <w:sz w:val="20"/>
                <w:szCs w:val="20"/>
                <w:u w:val="single"/>
              </w:rPr>
              <w:t>)に定める移動等円滑化された経路は、</w:t>
            </w:r>
            <w:r>
              <w:rPr>
                <w:rFonts w:ascii="ＭＳ 明朝" w:hAnsi="ＭＳ 明朝" w:hint="eastAsia"/>
                <w:color w:val="000000"/>
                <w:sz w:val="20"/>
                <w:szCs w:val="20"/>
                <w:u w:val="single"/>
              </w:rPr>
              <w:t>２</w:t>
            </w:r>
            <w:r w:rsidRPr="00163B5B">
              <w:rPr>
                <w:rFonts w:ascii="ＭＳ 明朝" w:hAnsi="ＭＳ 明朝" w:hint="eastAsia"/>
                <w:color w:val="000000"/>
                <w:sz w:val="20"/>
                <w:szCs w:val="20"/>
                <w:u w:val="single"/>
              </w:rPr>
              <w:t>の項(1)及び</w:t>
            </w:r>
            <w:r>
              <w:rPr>
                <w:rFonts w:ascii="ＭＳ 明朝" w:hAnsi="ＭＳ 明朝" w:hint="eastAsia"/>
                <w:color w:val="000000"/>
                <w:sz w:val="20"/>
                <w:szCs w:val="20"/>
                <w:u w:val="single"/>
              </w:rPr>
              <w:t>３</w:t>
            </w:r>
            <w:r w:rsidRPr="00163B5B">
              <w:rPr>
                <w:rFonts w:ascii="ＭＳ 明朝" w:hAnsi="ＭＳ 明朝" w:hint="eastAsia"/>
                <w:color w:val="000000"/>
                <w:sz w:val="20"/>
                <w:szCs w:val="20"/>
                <w:u w:val="single"/>
              </w:rPr>
              <w:t>の項(1)に</w:t>
            </w:r>
            <w:r>
              <w:rPr>
                <w:rFonts w:ascii="ＭＳ 明朝" w:hAnsi="ＭＳ 明朝" w:hint="eastAsia"/>
                <w:color w:val="000000"/>
                <w:sz w:val="20"/>
                <w:szCs w:val="20"/>
                <w:u w:val="single"/>
              </w:rPr>
              <w:t>定め</w:t>
            </w:r>
            <w:r w:rsidRPr="00163B5B">
              <w:rPr>
                <w:rFonts w:ascii="ＭＳ 明朝" w:hAnsi="ＭＳ 明朝" w:hint="eastAsia"/>
                <w:color w:val="000000"/>
                <w:sz w:val="20"/>
                <w:szCs w:val="20"/>
                <w:u w:val="single"/>
              </w:rPr>
              <w:t>るものでなければならない。</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(3)</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(1)に定める移動等円滑化経路において、床面に高低差がある場合は、</w:t>
            </w:r>
            <w:r>
              <w:rPr>
                <w:rFonts w:ascii="ＭＳ 明朝" w:hAnsi="ＭＳ 明朝" w:hint="eastAsia"/>
                <w:color w:val="000000"/>
                <w:sz w:val="20"/>
                <w:szCs w:val="20"/>
                <w:u w:val="single"/>
              </w:rPr>
              <w:t>６</w:t>
            </w:r>
            <w:r w:rsidRPr="00163B5B">
              <w:rPr>
                <w:rFonts w:ascii="ＭＳ 明朝" w:hAnsi="ＭＳ 明朝" w:hint="eastAsia"/>
                <w:color w:val="000000"/>
                <w:sz w:val="20"/>
                <w:szCs w:val="20"/>
                <w:u w:val="single"/>
              </w:rPr>
              <w:t>の項に定める傾斜路又は</w:t>
            </w:r>
            <w:r>
              <w:rPr>
                <w:rFonts w:ascii="ＭＳ 明朝" w:hAnsi="ＭＳ 明朝" w:hint="eastAsia"/>
                <w:color w:val="000000"/>
                <w:sz w:val="20"/>
                <w:szCs w:val="20"/>
                <w:u w:val="single"/>
              </w:rPr>
              <w:t>８</w:t>
            </w:r>
            <w:r w:rsidRPr="00163B5B">
              <w:rPr>
                <w:rFonts w:ascii="ＭＳ 明朝" w:hAnsi="ＭＳ 明朝" w:hint="eastAsia"/>
                <w:color w:val="000000"/>
                <w:sz w:val="20"/>
                <w:szCs w:val="20"/>
                <w:u w:val="single"/>
              </w:rPr>
              <w:t>の項に定めるエレベーターを設けなければならない。ただし、構造上の理由により傾斜路又はエレベーターを設置することが困難である場合は、</w:t>
            </w:r>
            <w:r>
              <w:rPr>
                <w:rFonts w:ascii="ＭＳ 明朝" w:hAnsi="ＭＳ 明朝" w:hint="eastAsia"/>
                <w:color w:val="000000"/>
                <w:sz w:val="20"/>
                <w:szCs w:val="20"/>
                <w:u w:val="single"/>
              </w:rPr>
              <w:t>９</w:t>
            </w:r>
            <w:r w:rsidRPr="00163B5B">
              <w:rPr>
                <w:rFonts w:ascii="ＭＳ 明朝" w:hAnsi="ＭＳ 明朝" w:hint="eastAsia"/>
                <w:color w:val="000000"/>
                <w:sz w:val="20"/>
                <w:szCs w:val="20"/>
                <w:u w:val="single"/>
              </w:rPr>
              <w:t>の項(2)に定めるエスカレーターをもってこれに代えることができる。</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(4) </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公共交通機関の施設に隣接しており、かつ、公共交通機関の施設と一体的に利用される他の施設の</w:t>
            </w:r>
            <w:r>
              <w:rPr>
                <w:rFonts w:ascii="ＭＳ 明朝" w:hAnsi="ＭＳ 明朝" w:hint="eastAsia"/>
                <w:color w:val="000000"/>
                <w:sz w:val="20"/>
                <w:szCs w:val="20"/>
                <w:u w:val="single"/>
              </w:rPr>
              <w:t>６の項に定める</w:t>
            </w:r>
            <w:r w:rsidRPr="00163B5B">
              <w:rPr>
                <w:rFonts w:ascii="ＭＳ 明朝" w:hAnsi="ＭＳ 明朝" w:hint="eastAsia"/>
                <w:color w:val="000000"/>
                <w:sz w:val="20"/>
                <w:szCs w:val="20"/>
                <w:u w:val="single"/>
              </w:rPr>
              <w:t>傾斜路又は</w:t>
            </w:r>
            <w:r>
              <w:rPr>
                <w:rFonts w:ascii="ＭＳ 明朝" w:hAnsi="ＭＳ 明朝" w:hint="eastAsia"/>
                <w:color w:val="000000"/>
                <w:sz w:val="20"/>
                <w:szCs w:val="20"/>
                <w:u w:val="single"/>
              </w:rPr>
              <w:t>８の項に定める</w:t>
            </w:r>
            <w:r w:rsidRPr="00163B5B">
              <w:rPr>
                <w:rFonts w:ascii="ＭＳ 明朝" w:hAnsi="ＭＳ 明朝" w:hint="eastAsia"/>
                <w:color w:val="000000"/>
                <w:sz w:val="20"/>
                <w:szCs w:val="20"/>
                <w:u w:val="single"/>
              </w:rPr>
              <w:t>エレベーターを利用することにより高齢者、障害者等が公共交通機関の施設の営業時間内において常時公共用通路と車両等の乗降口との間の移動を円滑に行うことができる場合は、前項の規定によらないことができる。</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(5)</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公共用通路と車両等の乗降口との間の経路であって主たる通行の用に供するものと当該公共用通路と当該車両等の乗降口との間に係る移動等円滑化された経路が異なる場合は、これらの経路の長さの差は、できる限り小さくしなければならない。</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(6) </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乗降場間の旅客の乗継ぎの用に供する経路((</w:t>
            </w:r>
            <w:r w:rsidRPr="00163B5B">
              <w:rPr>
                <w:rFonts w:ascii="ＭＳ 明朝" w:hAnsi="ＭＳ 明朝"/>
                <w:color w:val="000000"/>
                <w:sz w:val="20"/>
                <w:szCs w:val="20"/>
                <w:u w:val="single"/>
              </w:rPr>
              <w:t>7</w:t>
            </w:r>
            <w:r w:rsidRPr="00163B5B">
              <w:rPr>
                <w:rFonts w:ascii="ＭＳ 明朝" w:hAnsi="ＭＳ 明朝" w:hint="eastAsia"/>
                <w:color w:val="000000"/>
                <w:sz w:val="20"/>
                <w:szCs w:val="20"/>
                <w:u w:val="single"/>
              </w:rPr>
              <w:t>)において「乗継ぎ経路」という。)のうち１以上は、(2)から(5)までの基準に適合するものでなければならない。</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(7)</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主たる乗継ぎ経路と(</w:t>
            </w:r>
            <w:r w:rsidRPr="00163B5B">
              <w:rPr>
                <w:rFonts w:ascii="ＭＳ 明朝" w:hAnsi="ＭＳ 明朝"/>
                <w:color w:val="000000"/>
                <w:sz w:val="20"/>
                <w:szCs w:val="20"/>
                <w:u w:val="single"/>
              </w:rPr>
              <w:t>6</w:t>
            </w:r>
            <w:r w:rsidRPr="00163B5B">
              <w:rPr>
                <w:rFonts w:ascii="ＭＳ 明朝" w:hAnsi="ＭＳ 明朝" w:hint="eastAsia"/>
                <w:color w:val="000000"/>
                <w:sz w:val="20"/>
                <w:szCs w:val="20"/>
                <w:u w:val="single"/>
              </w:rPr>
              <w:t>)の基準に適合する乗継ぎ経路が異なる場合は、これらの経路の長さの差は、できる限り小さくしなければならない。</w:t>
            </w:r>
          </w:p>
          <w:p w:rsidR="00ED4A31" w:rsidRPr="00163B5B"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(8)</w:t>
            </w:r>
            <w:r w:rsidRPr="00163B5B">
              <w:rPr>
                <w:rFonts w:ascii="ＭＳ 明朝" w:hAnsi="ＭＳ 明朝"/>
                <w:color w:val="000000"/>
                <w:sz w:val="20"/>
                <w:szCs w:val="20"/>
                <w:u w:val="single"/>
              </w:rPr>
              <w:t xml:space="preserve"> </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(2)または(7)においては、条例第28条第１項の協議をする際、長さの差をできる限り小さくしていることを書面により説明しなければならない。</w:t>
            </w:r>
          </w:p>
          <w:p w:rsidR="00ED4A31" w:rsidRPr="00A0042A" w:rsidRDefault="00ED4A31" w:rsidP="00617B4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(9)</w:t>
            </w:r>
            <w:r>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線路、水路等を挟んだ各側に公共用通路に直接通ずる出入口がある場合には、(1)の規定にかかわらず、当該各側の出入口に通ずる移動等円滑化された経路をそれぞれ１以上設けなければならない。ただし、</w:t>
            </w:r>
            <w:r>
              <w:rPr>
                <w:rFonts w:ascii="ＭＳ 明朝" w:hAnsi="ＭＳ 明朝" w:hint="eastAsia"/>
                <w:color w:val="000000"/>
                <w:sz w:val="20"/>
                <w:szCs w:val="20"/>
                <w:u w:val="single"/>
              </w:rPr>
              <w:t>施設の規模、出入口の設置状況その他の状況及び当該施設</w:t>
            </w:r>
            <w:r w:rsidRPr="00163B5B">
              <w:rPr>
                <w:rFonts w:ascii="ＭＳ 明朝" w:hAnsi="ＭＳ 明朝" w:hint="eastAsia"/>
                <w:color w:val="000000"/>
                <w:sz w:val="20"/>
                <w:szCs w:val="20"/>
                <w:u w:val="single"/>
              </w:rPr>
              <w:t>の利用の状況を勘案して、高齢者、障害者等の利便を著しく阻害しないと市長が認める場合は、この限りではない。</w:t>
            </w:r>
          </w:p>
        </w:tc>
        <w:bookmarkStart w:id="0" w:name="_GoBack"/>
        <w:bookmarkEnd w:id="0"/>
      </w:tr>
      <w:tr w:rsidR="00ED4A31" w:rsidRPr="0042251F" w:rsidTr="00ED4A31">
        <w:trPr>
          <w:trHeight w:val="183"/>
        </w:trPr>
        <w:tc>
          <w:tcPr>
            <w:tcW w:w="2127" w:type="dxa"/>
            <w:shd w:val="clear" w:color="auto" w:fill="auto"/>
          </w:tcPr>
          <w:p w:rsidR="00ED4A31" w:rsidRPr="00DC23FA"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２</w:t>
            </w:r>
            <w:r>
              <w:rPr>
                <w:rFonts w:ascii="ＭＳ 明朝" w:hAnsi="ＭＳ 明朝" w:hint="eastAsia"/>
                <w:color w:val="000000"/>
                <w:sz w:val="20"/>
                <w:szCs w:val="20"/>
              </w:rPr>
              <w:t xml:space="preserve">　出入口</w:t>
            </w:r>
          </w:p>
        </w:tc>
        <w:tc>
          <w:tcPr>
            <w:tcW w:w="6237" w:type="dxa"/>
            <w:shd w:val="clear" w:color="auto" w:fill="auto"/>
          </w:tcPr>
          <w:p w:rsidR="00ED4A31" w:rsidRPr="00ED4A31" w:rsidRDefault="00ED4A31" w:rsidP="00ED4A31">
            <w:pPr>
              <w:spacing w:line="240" w:lineRule="exact"/>
              <w:ind w:left="200" w:hangingChars="100" w:hanging="200"/>
              <w:jc w:val="left"/>
              <w:rPr>
                <w:rFonts w:ascii="ＭＳ 明朝" w:hAnsi="ＭＳ 明朝"/>
                <w:color w:val="000000"/>
                <w:sz w:val="20"/>
                <w:szCs w:val="20"/>
              </w:rPr>
            </w:pPr>
            <w:r w:rsidRPr="00ED4A31">
              <w:rPr>
                <w:rFonts w:ascii="ＭＳ 明朝" w:hAnsi="ＭＳ 明朝"/>
                <w:color w:val="000000"/>
                <w:sz w:val="20"/>
                <w:szCs w:val="20"/>
              </w:rPr>
              <w:t>(1)</w:t>
            </w:r>
            <w:r w:rsidRPr="00ED4A31">
              <w:rPr>
                <w:rFonts w:ascii="ＭＳ 明朝" w:hAnsi="ＭＳ 明朝" w:hint="eastAsia"/>
                <w:color w:val="000000"/>
                <w:sz w:val="20"/>
                <w:szCs w:val="20"/>
              </w:rPr>
              <w:t xml:space="preserve">　出入口のうち</w:t>
            </w:r>
            <w:r w:rsidRPr="00ED4A31">
              <w:rPr>
                <w:rFonts w:ascii="ＭＳ 明朝" w:hAnsi="ＭＳ 明朝"/>
                <w:color w:val="000000"/>
                <w:sz w:val="20"/>
                <w:szCs w:val="20"/>
              </w:rPr>
              <w:t>1</w:t>
            </w:r>
            <w:r w:rsidRPr="00ED4A31">
              <w:rPr>
                <w:rFonts w:ascii="ＭＳ 明朝" w:hAnsi="ＭＳ 明朝" w:hint="eastAsia"/>
                <w:color w:val="000000"/>
                <w:sz w:val="20"/>
                <w:szCs w:val="20"/>
              </w:rPr>
              <w:t>以上は、次に掲げるものでなければならない。</w:t>
            </w:r>
          </w:p>
          <w:p w:rsidR="00ED4A31" w:rsidRPr="00ED4A31" w:rsidRDefault="00ED4A31" w:rsidP="00ED4A31">
            <w:pPr>
              <w:spacing w:line="240" w:lineRule="exact"/>
              <w:ind w:leftChars="100" w:left="410"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ア　幅は、</w:t>
            </w:r>
            <w:r w:rsidRPr="00ED4A31">
              <w:rPr>
                <w:rFonts w:ascii="ＭＳ 明朝" w:hAnsi="ＭＳ 明朝"/>
                <w:color w:val="000000"/>
                <w:sz w:val="20"/>
                <w:szCs w:val="20"/>
              </w:rPr>
              <w:t>180</w:t>
            </w:r>
            <w:r w:rsidRPr="00ED4A31">
              <w:rPr>
                <w:rFonts w:ascii="ＭＳ 明朝" w:hAnsi="ＭＳ 明朝" w:hint="eastAsia"/>
                <w:color w:val="000000"/>
                <w:sz w:val="20"/>
                <w:szCs w:val="20"/>
              </w:rPr>
              <w:t>センチメートル以上とすること。</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イ　段を設けないこと。ただし、段を</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の項に定める構造に準じたものとし、</w:t>
            </w:r>
            <w:r w:rsidRPr="00ED4A31">
              <w:rPr>
                <w:rFonts w:ascii="ＭＳ 明朝" w:hAnsi="ＭＳ 明朝"/>
                <w:color w:val="000000"/>
                <w:sz w:val="20"/>
                <w:szCs w:val="20"/>
              </w:rPr>
              <w:t>5</w:t>
            </w:r>
            <w:r w:rsidRPr="00ED4A31">
              <w:rPr>
                <w:rFonts w:ascii="ＭＳ 明朝" w:hAnsi="ＭＳ 明朝" w:hint="eastAsia"/>
                <w:color w:val="000000"/>
                <w:sz w:val="20"/>
                <w:szCs w:val="20"/>
              </w:rPr>
              <w:t>の項に定める構造の傾斜路を併設した場合は、この限りでない。</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lastRenderedPageBreak/>
              <w:t>ウ　路面は、平たんで滑りにくい仕上げとすること。</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エ　戸は、自動的に開閉する構造又は高齢者、障害者等が円滑に開閉して通過できる構造とすること。</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オ　出入口を横断する排水溝を設ける場合は、車いすのキャスターが落ち込まない構造のふたを設けること。</w:t>
            </w:r>
          </w:p>
          <w:p w:rsidR="00ED4A31" w:rsidRPr="0042251F" w:rsidRDefault="00ED4A31" w:rsidP="00A66F55">
            <w:pPr>
              <w:spacing w:line="240" w:lineRule="exact"/>
              <w:ind w:left="200" w:hangingChars="100" w:hanging="200"/>
              <w:jc w:val="left"/>
              <w:rPr>
                <w:rFonts w:ascii="ＭＳ 明朝" w:hAnsi="ＭＳ 明朝"/>
                <w:color w:val="000000"/>
                <w:sz w:val="20"/>
                <w:szCs w:val="20"/>
              </w:rPr>
            </w:pPr>
            <w:r w:rsidRPr="00ED4A31">
              <w:rPr>
                <w:rFonts w:ascii="ＭＳ 明朝" w:hAnsi="ＭＳ 明朝"/>
                <w:color w:val="000000"/>
                <w:sz w:val="20"/>
                <w:szCs w:val="20"/>
              </w:rPr>
              <w:t>(2)</w:t>
            </w:r>
            <w:r w:rsidRPr="00ED4A31">
              <w:rPr>
                <w:rFonts w:ascii="ＭＳ 明朝" w:hAnsi="ＭＳ 明朝" w:hint="eastAsia"/>
                <w:color w:val="000000"/>
                <w:sz w:val="20"/>
                <w:szCs w:val="20"/>
              </w:rPr>
              <w:t xml:space="preserve">　</w:t>
            </w:r>
            <w:r w:rsidRPr="00ED4A31">
              <w:rPr>
                <w:rFonts w:ascii="ＭＳ 明朝" w:hAnsi="ＭＳ 明朝"/>
                <w:color w:val="000000"/>
                <w:sz w:val="20"/>
                <w:szCs w:val="20"/>
              </w:rPr>
              <w:t>(1)</w:t>
            </w:r>
            <w:r w:rsidRPr="00ED4A31">
              <w:rPr>
                <w:rFonts w:ascii="ＭＳ 明朝" w:hAnsi="ＭＳ 明朝" w:hint="eastAsia"/>
                <w:color w:val="000000"/>
                <w:sz w:val="20"/>
                <w:szCs w:val="20"/>
              </w:rPr>
              <w:t>に定める構造の出入口以外の出入口に段が生じる場合は、</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の項に定める構造に準じたものにしなければならない。</w:t>
            </w:r>
          </w:p>
        </w:tc>
      </w:tr>
      <w:tr w:rsidR="00ED4A31" w:rsidRPr="0042251F" w:rsidTr="00ED4A31">
        <w:trPr>
          <w:trHeight w:val="160"/>
        </w:trPr>
        <w:tc>
          <w:tcPr>
            <w:tcW w:w="2127" w:type="dxa"/>
            <w:shd w:val="clear" w:color="auto" w:fill="auto"/>
          </w:tcPr>
          <w:p w:rsidR="00ED4A31" w:rsidRPr="00DC23FA"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lastRenderedPageBreak/>
              <w:t>３</w:t>
            </w:r>
            <w:r>
              <w:rPr>
                <w:rFonts w:ascii="ＭＳ 明朝" w:hAnsi="ＭＳ 明朝" w:hint="eastAsia"/>
                <w:color w:val="000000"/>
                <w:sz w:val="20"/>
                <w:szCs w:val="20"/>
              </w:rPr>
              <w:t xml:space="preserve">　通路</w:t>
            </w:r>
          </w:p>
        </w:tc>
        <w:tc>
          <w:tcPr>
            <w:tcW w:w="6237" w:type="dxa"/>
            <w:shd w:val="clear" w:color="auto" w:fill="auto"/>
          </w:tcPr>
          <w:p w:rsidR="00ED4A31" w:rsidRPr="00ED4A31" w:rsidRDefault="00ED4A31" w:rsidP="00ED4A31">
            <w:pPr>
              <w:spacing w:line="240" w:lineRule="exact"/>
              <w:ind w:left="200" w:hangingChars="100" w:hanging="200"/>
              <w:jc w:val="left"/>
              <w:rPr>
                <w:rFonts w:ascii="ＭＳ 明朝" w:hAnsi="ＭＳ 明朝"/>
                <w:color w:val="000000"/>
                <w:sz w:val="20"/>
                <w:szCs w:val="20"/>
              </w:rPr>
            </w:pPr>
            <w:r w:rsidRPr="00ED4A31">
              <w:rPr>
                <w:rFonts w:ascii="ＭＳ 明朝" w:hAnsi="ＭＳ 明朝"/>
                <w:color w:val="000000"/>
                <w:sz w:val="20"/>
                <w:szCs w:val="20"/>
              </w:rPr>
              <w:t>(1)</w:t>
            </w:r>
            <w:r w:rsidRPr="00ED4A31">
              <w:rPr>
                <w:rFonts w:ascii="ＭＳ 明朝" w:hAnsi="ＭＳ 明朝" w:hint="eastAsia"/>
                <w:color w:val="000000"/>
                <w:sz w:val="20"/>
                <w:szCs w:val="20"/>
              </w:rPr>
              <w:t xml:space="preserve">　</w:t>
            </w:r>
            <w:r w:rsidRPr="00ED4A31">
              <w:rPr>
                <w:rFonts w:ascii="ＭＳ 明朝" w:hAnsi="ＭＳ 明朝" w:hint="eastAsia"/>
                <w:color w:val="000000"/>
                <w:sz w:val="20"/>
                <w:szCs w:val="20"/>
                <w:u w:val="single"/>
              </w:rPr>
              <w:t>通路のうち</w:t>
            </w:r>
            <w:r w:rsidRPr="00ED4A31">
              <w:rPr>
                <w:rFonts w:ascii="ＭＳ 明朝" w:hAnsi="ＭＳ 明朝"/>
                <w:color w:val="000000"/>
                <w:sz w:val="20"/>
                <w:szCs w:val="20"/>
                <w:u w:val="single"/>
              </w:rPr>
              <w:t>1</w:t>
            </w:r>
            <w:r w:rsidRPr="00ED4A31">
              <w:rPr>
                <w:rFonts w:ascii="ＭＳ 明朝" w:hAnsi="ＭＳ 明朝" w:hint="eastAsia"/>
                <w:color w:val="000000"/>
                <w:sz w:val="20"/>
                <w:szCs w:val="20"/>
                <w:u w:val="single"/>
              </w:rPr>
              <w:t>以上は、次に掲げるものでなければならない。</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ア　幅は、主要な通路にあっては</w:t>
            </w:r>
            <w:r w:rsidRPr="00ED4A31">
              <w:rPr>
                <w:rFonts w:ascii="ＭＳ 明朝" w:hAnsi="ＭＳ 明朝"/>
                <w:color w:val="000000"/>
                <w:sz w:val="20"/>
                <w:szCs w:val="20"/>
              </w:rPr>
              <w:t>180</w:t>
            </w:r>
            <w:r w:rsidRPr="00ED4A31">
              <w:rPr>
                <w:rFonts w:ascii="ＭＳ 明朝" w:hAnsi="ＭＳ 明朝" w:hint="eastAsia"/>
                <w:color w:val="000000"/>
                <w:sz w:val="20"/>
                <w:szCs w:val="20"/>
              </w:rPr>
              <w:t>センチメートル以上とし、その他の通路にあっては</w:t>
            </w:r>
            <w:r w:rsidRPr="00ED4A31">
              <w:rPr>
                <w:rFonts w:ascii="ＭＳ 明朝" w:hAnsi="ＭＳ 明朝"/>
                <w:color w:val="000000"/>
                <w:sz w:val="20"/>
                <w:szCs w:val="20"/>
              </w:rPr>
              <w:t>140</w:t>
            </w:r>
            <w:r w:rsidRPr="00ED4A31">
              <w:rPr>
                <w:rFonts w:ascii="ＭＳ 明朝" w:hAnsi="ＭＳ 明朝" w:hint="eastAsia"/>
                <w:color w:val="000000"/>
                <w:sz w:val="20"/>
                <w:szCs w:val="20"/>
              </w:rPr>
              <w:t>センチメートル以上とすること。</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イ　段を設けないこと。ただし、段を</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の項に定める構造に準じたものとし、</w:t>
            </w:r>
            <w:r w:rsidRPr="00ED4A31">
              <w:rPr>
                <w:rFonts w:ascii="ＭＳ 明朝" w:hAnsi="ＭＳ 明朝"/>
                <w:color w:val="000000"/>
                <w:sz w:val="20"/>
                <w:szCs w:val="20"/>
              </w:rPr>
              <w:t>5</w:t>
            </w:r>
            <w:r w:rsidRPr="00ED4A31">
              <w:rPr>
                <w:rFonts w:ascii="ＭＳ 明朝" w:hAnsi="ＭＳ 明朝" w:hint="eastAsia"/>
                <w:color w:val="000000"/>
                <w:sz w:val="20"/>
                <w:szCs w:val="20"/>
              </w:rPr>
              <w:t>の項に定める構造の傾斜路を併設した場合は、この限りでない。</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ウ　床面は、平たんで滑りにくい仕上げとすること。</w:t>
            </w:r>
          </w:p>
          <w:p w:rsidR="00ED4A31" w:rsidRPr="00ED4A31" w:rsidRDefault="00ED4A31" w:rsidP="00ED4A31">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エ　壁面及び柱面の看板及び設置物は、突き出さないようにすること。やむを得ず突き出す場合は、面を取るなどの措置をとること。</w:t>
            </w:r>
          </w:p>
          <w:p w:rsidR="00ED4A31" w:rsidRPr="00ED4A31" w:rsidRDefault="00ED4A31" w:rsidP="00ED4A31">
            <w:pPr>
              <w:spacing w:line="240" w:lineRule="exact"/>
              <w:ind w:left="200" w:hangingChars="100" w:hanging="200"/>
              <w:jc w:val="left"/>
              <w:rPr>
                <w:rFonts w:ascii="ＭＳ 明朝" w:hAnsi="ＭＳ 明朝"/>
                <w:color w:val="000000"/>
                <w:sz w:val="20"/>
                <w:szCs w:val="20"/>
              </w:rPr>
            </w:pPr>
            <w:r w:rsidRPr="00ED4A31">
              <w:rPr>
                <w:rFonts w:ascii="ＭＳ 明朝" w:hAnsi="ＭＳ 明朝"/>
                <w:color w:val="000000"/>
                <w:sz w:val="20"/>
                <w:szCs w:val="20"/>
              </w:rPr>
              <w:t>(2)</w:t>
            </w:r>
            <w:r w:rsidRPr="00ED4A31">
              <w:rPr>
                <w:rFonts w:ascii="ＭＳ 明朝" w:hAnsi="ＭＳ 明朝" w:hint="eastAsia"/>
                <w:color w:val="000000"/>
                <w:sz w:val="20"/>
                <w:szCs w:val="20"/>
              </w:rPr>
              <w:t xml:space="preserve">　</w:t>
            </w:r>
            <w:r w:rsidRPr="00ED4A31">
              <w:rPr>
                <w:rFonts w:ascii="ＭＳ 明朝" w:hAnsi="ＭＳ 明朝"/>
                <w:color w:val="000000"/>
                <w:sz w:val="20"/>
                <w:szCs w:val="20"/>
              </w:rPr>
              <w:t>(1)</w:t>
            </w:r>
            <w:r w:rsidRPr="00ED4A31">
              <w:rPr>
                <w:rFonts w:ascii="ＭＳ 明朝" w:hAnsi="ＭＳ 明朝" w:hint="eastAsia"/>
                <w:color w:val="000000"/>
                <w:sz w:val="20"/>
                <w:szCs w:val="20"/>
              </w:rPr>
              <w:t>に定める構造の通路以外の通路に段が生じる場合は、</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の項に定める構造に準じたものにしなければならない。</w:t>
            </w:r>
          </w:p>
        </w:tc>
      </w:tr>
      <w:tr w:rsidR="00ED4A31" w:rsidRPr="0042251F" w:rsidTr="00ED4A31">
        <w:trPr>
          <w:trHeight w:val="220"/>
        </w:trPr>
        <w:tc>
          <w:tcPr>
            <w:tcW w:w="2127" w:type="dxa"/>
            <w:shd w:val="clear" w:color="auto" w:fill="auto"/>
          </w:tcPr>
          <w:p w:rsidR="00ED4A31" w:rsidRPr="00DC23FA"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４</w:t>
            </w:r>
            <w:r>
              <w:rPr>
                <w:rFonts w:ascii="ＭＳ 明朝" w:hAnsi="ＭＳ 明朝" w:hint="eastAsia"/>
                <w:color w:val="000000"/>
                <w:sz w:val="20"/>
                <w:szCs w:val="20"/>
              </w:rPr>
              <w:t xml:space="preserve">　改札口</w:t>
            </w:r>
          </w:p>
        </w:tc>
        <w:tc>
          <w:tcPr>
            <w:tcW w:w="6237" w:type="dxa"/>
            <w:shd w:val="clear" w:color="auto" w:fill="auto"/>
          </w:tcPr>
          <w:p w:rsidR="00ED4A31" w:rsidRPr="0042251F" w:rsidRDefault="00ED4A31" w:rsidP="00ED4A31">
            <w:pPr>
              <w:spacing w:line="240" w:lineRule="exact"/>
              <w:ind w:left="32" w:hangingChars="16" w:hanging="32"/>
              <w:jc w:val="left"/>
              <w:rPr>
                <w:rFonts w:ascii="ＭＳ 明朝" w:hAnsi="ＭＳ 明朝"/>
                <w:color w:val="000000"/>
                <w:sz w:val="20"/>
                <w:szCs w:val="20"/>
              </w:rPr>
            </w:pPr>
            <w:r>
              <w:rPr>
                <w:rFonts w:ascii="ＭＳ 明朝" w:hAnsi="ＭＳ 明朝" w:hint="eastAsia"/>
                <w:color w:val="000000"/>
                <w:sz w:val="20"/>
                <w:szCs w:val="20"/>
              </w:rPr>
              <w:t xml:space="preserve">　</w:t>
            </w:r>
            <w:r w:rsidRPr="00754FAD">
              <w:rPr>
                <w:rFonts w:ascii="ＭＳ 明朝" w:hAnsi="ＭＳ 明朝" w:hint="eastAsia"/>
                <w:color w:val="000000"/>
                <w:sz w:val="20"/>
                <w:szCs w:val="20"/>
              </w:rPr>
              <w:t>改札口のうち</w:t>
            </w:r>
            <w:r w:rsidRPr="00754FAD">
              <w:rPr>
                <w:rFonts w:ascii="ＭＳ 明朝" w:hAnsi="ＭＳ 明朝"/>
                <w:color w:val="000000"/>
                <w:sz w:val="20"/>
                <w:szCs w:val="20"/>
              </w:rPr>
              <w:t>1</w:t>
            </w:r>
            <w:r w:rsidRPr="00754FAD">
              <w:rPr>
                <w:rFonts w:ascii="ＭＳ 明朝" w:hAnsi="ＭＳ 明朝" w:hint="eastAsia"/>
                <w:color w:val="000000"/>
                <w:sz w:val="20"/>
                <w:szCs w:val="20"/>
              </w:rPr>
              <w:t>以上は、幅を</w:t>
            </w:r>
            <w:r w:rsidRPr="00754FAD">
              <w:rPr>
                <w:rFonts w:ascii="ＭＳ 明朝" w:hAnsi="ＭＳ 明朝"/>
                <w:color w:val="000000"/>
                <w:sz w:val="20"/>
                <w:szCs w:val="20"/>
              </w:rPr>
              <w:t>90</w:t>
            </w:r>
            <w:r w:rsidRPr="00754FAD">
              <w:rPr>
                <w:rFonts w:ascii="ＭＳ 明朝" w:hAnsi="ＭＳ 明朝" w:hint="eastAsia"/>
                <w:color w:val="000000"/>
                <w:sz w:val="20"/>
                <w:szCs w:val="20"/>
              </w:rPr>
              <w:t>センチメートル以上にしなければならない。</w:t>
            </w:r>
          </w:p>
        </w:tc>
      </w:tr>
      <w:tr w:rsidR="00ED4A31" w:rsidRPr="0042251F" w:rsidTr="00ED4A31">
        <w:tc>
          <w:tcPr>
            <w:tcW w:w="2127" w:type="dxa"/>
            <w:shd w:val="clear" w:color="auto" w:fill="auto"/>
          </w:tcPr>
          <w:p w:rsidR="00ED4A31" w:rsidRPr="0042251F"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５</w:t>
            </w:r>
            <w:r>
              <w:rPr>
                <w:rFonts w:ascii="ＭＳ 明朝" w:hAnsi="ＭＳ 明朝" w:hint="eastAsia"/>
                <w:color w:val="000000"/>
                <w:sz w:val="20"/>
                <w:szCs w:val="20"/>
              </w:rPr>
              <w:t xml:space="preserve">　階段</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hint="eastAsia"/>
                <w:color w:val="000000"/>
                <w:sz w:val="20"/>
                <w:szCs w:val="20"/>
              </w:rPr>
              <w:t>階段は、次に掲げるものでなければならない。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幅は、</w:t>
            </w:r>
            <w:r w:rsidRPr="00A66F55">
              <w:rPr>
                <w:rFonts w:ascii="ＭＳ 明朝" w:hAnsi="ＭＳ 明朝"/>
                <w:color w:val="000000"/>
                <w:sz w:val="20"/>
                <w:szCs w:val="20"/>
              </w:rPr>
              <w:t>130</w:t>
            </w:r>
            <w:r w:rsidRPr="00A66F55">
              <w:rPr>
                <w:rFonts w:ascii="ＭＳ 明朝" w:hAnsi="ＭＳ 明朝" w:hint="eastAsia"/>
                <w:color w:val="000000"/>
                <w:sz w:val="20"/>
                <w:szCs w:val="20"/>
              </w:rPr>
              <w:t>センチメートル以上とすること。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階段の両側には、</w:t>
            </w:r>
            <w:r w:rsidRPr="00A66F55">
              <w:rPr>
                <w:rFonts w:ascii="ＭＳ 明朝" w:hAnsi="ＭＳ 明朝"/>
                <w:color w:val="000000"/>
                <w:sz w:val="20"/>
                <w:szCs w:val="20"/>
              </w:rPr>
              <w:t>6</w:t>
            </w:r>
            <w:r w:rsidRPr="00A66F55">
              <w:rPr>
                <w:rFonts w:ascii="ＭＳ 明朝" w:hAnsi="ＭＳ 明朝" w:hint="eastAsia"/>
                <w:color w:val="000000"/>
                <w:sz w:val="20"/>
                <w:szCs w:val="20"/>
              </w:rPr>
              <w:t>の項に定める構造の手すりを設けること。</w:t>
            </w:r>
          </w:p>
          <w:p w:rsidR="00A66F55" w:rsidRPr="00A66F55" w:rsidRDefault="00A66F55" w:rsidP="00A66F55">
            <w:pPr>
              <w:spacing w:line="240" w:lineRule="exact"/>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回り段を設けないこと。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踏面は滑りにくい仕上げとし、段鼻には滑り止めを設けること。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(5)</w:t>
            </w:r>
            <w:r w:rsidRPr="00A66F55">
              <w:rPr>
                <w:rFonts w:ascii="ＭＳ 明朝" w:hAnsi="ＭＳ 明朝" w:hint="eastAsia"/>
                <w:color w:val="000000"/>
                <w:sz w:val="20"/>
                <w:szCs w:val="20"/>
              </w:rPr>
              <w:t xml:space="preserve">　段鼻は、突き出さないようにし、踏面及び蹴上げと識別しやすい色とすること。</w:t>
            </w:r>
          </w:p>
          <w:p w:rsidR="00ED4A31" w:rsidRPr="0042251F" w:rsidRDefault="00A66F55" w:rsidP="00A66F55">
            <w:pPr>
              <w:spacing w:line="240" w:lineRule="exact"/>
              <w:jc w:val="left"/>
              <w:rPr>
                <w:rFonts w:ascii="ＭＳ 明朝" w:hAnsi="ＭＳ 明朝"/>
                <w:color w:val="000000"/>
                <w:sz w:val="20"/>
                <w:szCs w:val="20"/>
              </w:rPr>
            </w:pPr>
            <w:r w:rsidRPr="00A66F55">
              <w:rPr>
                <w:rFonts w:ascii="ＭＳ 明朝" w:hAnsi="ＭＳ 明朝"/>
                <w:color w:val="000000"/>
                <w:sz w:val="20"/>
                <w:szCs w:val="20"/>
              </w:rPr>
              <w:t>(6)</w:t>
            </w:r>
            <w:r w:rsidRPr="00A66F55">
              <w:rPr>
                <w:rFonts w:ascii="ＭＳ 明朝" w:hAnsi="ＭＳ 明朝" w:hint="eastAsia"/>
                <w:color w:val="000000"/>
                <w:sz w:val="20"/>
                <w:szCs w:val="20"/>
              </w:rPr>
              <w:t xml:space="preserve">　蹴込板を設けること。</w:t>
            </w:r>
          </w:p>
        </w:tc>
      </w:tr>
      <w:tr w:rsidR="00ED4A31" w:rsidRPr="00DC23FA" w:rsidTr="00ED4A31">
        <w:trPr>
          <w:trHeight w:val="142"/>
        </w:trPr>
        <w:tc>
          <w:tcPr>
            <w:tcW w:w="2127" w:type="dxa"/>
            <w:shd w:val="clear" w:color="auto" w:fill="auto"/>
          </w:tcPr>
          <w:p w:rsidR="00ED4A31" w:rsidRPr="00DC23FA" w:rsidRDefault="00ED4A31" w:rsidP="00617B4C">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u w:val="single"/>
              </w:rPr>
              <w:t>６</w:t>
            </w:r>
            <w:r>
              <w:rPr>
                <w:rFonts w:ascii="ＭＳ 明朝" w:hAnsi="ＭＳ 明朝" w:hint="eastAsia"/>
                <w:color w:val="000000"/>
                <w:sz w:val="20"/>
                <w:szCs w:val="20"/>
              </w:rPr>
              <w:t xml:space="preserve">　傾斜路</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の項</w:t>
            </w:r>
            <w:r w:rsidRPr="00A66F55">
              <w:rPr>
                <w:rFonts w:ascii="ＭＳ 明朝" w:hAnsi="ＭＳ 明朝"/>
                <w:color w:val="000000"/>
                <w:sz w:val="20"/>
                <w:szCs w:val="20"/>
              </w:rPr>
              <w:t>(1)</w:t>
            </w:r>
            <w:r w:rsidRPr="00A66F55">
              <w:rPr>
                <w:rFonts w:ascii="ＭＳ 明朝" w:hAnsi="ＭＳ 明朝" w:hint="eastAsia"/>
                <w:color w:val="000000"/>
                <w:sz w:val="20"/>
                <w:szCs w:val="20"/>
              </w:rPr>
              <w:t>に定める構造の出入口及び</w:t>
            </w:r>
            <w:r w:rsidRPr="00A66F55">
              <w:rPr>
                <w:rFonts w:ascii="ＭＳ 明朝" w:hAnsi="ＭＳ 明朝"/>
                <w:color w:val="000000"/>
                <w:sz w:val="20"/>
                <w:szCs w:val="20"/>
              </w:rPr>
              <w:t>2</w:t>
            </w:r>
            <w:r w:rsidRPr="00A66F55">
              <w:rPr>
                <w:rFonts w:ascii="ＭＳ 明朝" w:hAnsi="ＭＳ 明朝" w:hint="eastAsia"/>
                <w:color w:val="000000"/>
                <w:sz w:val="20"/>
                <w:szCs w:val="20"/>
              </w:rPr>
              <w:t>の項</w:t>
            </w:r>
            <w:r w:rsidRPr="00A66F55">
              <w:rPr>
                <w:rFonts w:ascii="ＭＳ 明朝" w:hAnsi="ＭＳ 明朝"/>
                <w:color w:val="000000"/>
                <w:sz w:val="20"/>
                <w:szCs w:val="20"/>
              </w:rPr>
              <w:t>(1)</w:t>
            </w:r>
            <w:r w:rsidRPr="00A66F55">
              <w:rPr>
                <w:rFonts w:ascii="ＭＳ 明朝" w:hAnsi="ＭＳ 明朝" w:hint="eastAsia"/>
                <w:color w:val="000000"/>
                <w:sz w:val="20"/>
                <w:szCs w:val="20"/>
              </w:rPr>
              <w:t>に定める構造の通路に設ける傾斜路は、次に掲げるものでなければならない。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表面は、滑りにくい仕上げとすること。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幅は、</w:t>
            </w:r>
            <w:r w:rsidRPr="00A66F55">
              <w:rPr>
                <w:rFonts w:ascii="ＭＳ 明朝" w:hAnsi="ＭＳ 明朝"/>
                <w:color w:val="000000"/>
                <w:sz w:val="20"/>
                <w:szCs w:val="20"/>
              </w:rPr>
              <w:t>140</w:t>
            </w:r>
            <w:r w:rsidRPr="00A66F55">
              <w:rPr>
                <w:rFonts w:ascii="ＭＳ 明朝" w:hAnsi="ＭＳ 明朝" w:hint="eastAsia"/>
                <w:color w:val="000000"/>
                <w:sz w:val="20"/>
                <w:szCs w:val="20"/>
              </w:rPr>
              <w:t>センチメートル以上とすること。ただし、段に併設する場合は、</w:t>
            </w:r>
            <w:r w:rsidRPr="00A66F55">
              <w:rPr>
                <w:rFonts w:ascii="ＭＳ 明朝" w:hAnsi="ＭＳ 明朝"/>
                <w:color w:val="000000"/>
                <w:sz w:val="20"/>
                <w:szCs w:val="20"/>
              </w:rPr>
              <w:t>100</w:t>
            </w:r>
            <w:r w:rsidRPr="00A66F55">
              <w:rPr>
                <w:rFonts w:ascii="ＭＳ 明朝" w:hAnsi="ＭＳ 明朝" w:hint="eastAsia"/>
                <w:color w:val="000000"/>
                <w:sz w:val="20"/>
                <w:szCs w:val="20"/>
              </w:rPr>
              <w:t>センチメートル以上とすることができる。</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勾配は、</w:t>
            </w:r>
            <w:r w:rsidRPr="00A66F55">
              <w:rPr>
                <w:rFonts w:ascii="ＭＳ 明朝" w:hAnsi="ＭＳ 明朝"/>
                <w:color w:val="000000"/>
                <w:sz w:val="20"/>
                <w:szCs w:val="20"/>
              </w:rPr>
              <w:t>12</w:t>
            </w:r>
            <w:r w:rsidRPr="00A66F55">
              <w:rPr>
                <w:rFonts w:ascii="ＭＳ 明朝" w:hAnsi="ＭＳ 明朝" w:hint="eastAsia"/>
                <w:color w:val="000000"/>
                <w:sz w:val="20"/>
                <w:szCs w:val="20"/>
              </w:rPr>
              <w:t>分の</w:t>
            </w:r>
            <w:r w:rsidRPr="00A66F55">
              <w:rPr>
                <w:rFonts w:ascii="ＭＳ 明朝" w:hAnsi="ＭＳ 明朝"/>
                <w:color w:val="000000"/>
                <w:sz w:val="20"/>
                <w:szCs w:val="20"/>
              </w:rPr>
              <w:t>1</w:t>
            </w:r>
            <w:r w:rsidRPr="00A66F55">
              <w:rPr>
                <w:rFonts w:ascii="ＭＳ 明朝" w:hAnsi="ＭＳ 明朝" w:hint="eastAsia"/>
                <w:color w:val="000000"/>
                <w:sz w:val="20"/>
                <w:szCs w:val="20"/>
              </w:rPr>
              <w:t>以下とすること。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高低差が</w:t>
            </w:r>
            <w:r w:rsidRPr="00A66F55">
              <w:rPr>
                <w:rFonts w:ascii="ＭＳ 明朝" w:hAnsi="ＭＳ 明朝"/>
                <w:color w:val="000000"/>
                <w:sz w:val="20"/>
                <w:szCs w:val="20"/>
              </w:rPr>
              <w:t>75</w:t>
            </w:r>
            <w:r w:rsidRPr="00A66F55">
              <w:rPr>
                <w:rFonts w:ascii="ＭＳ 明朝" w:hAnsi="ＭＳ 明朝" w:hint="eastAsia"/>
                <w:color w:val="000000"/>
                <w:sz w:val="20"/>
                <w:szCs w:val="20"/>
              </w:rPr>
              <w:t>センチメートルを超える傾斜路については、高さ</w:t>
            </w:r>
            <w:r w:rsidRPr="00A66F55">
              <w:rPr>
                <w:rFonts w:ascii="ＭＳ 明朝" w:hAnsi="ＭＳ 明朝"/>
                <w:color w:val="000000"/>
                <w:sz w:val="20"/>
                <w:szCs w:val="20"/>
              </w:rPr>
              <w:t>75</w:t>
            </w:r>
            <w:r w:rsidRPr="00A66F55">
              <w:rPr>
                <w:rFonts w:ascii="ＭＳ 明朝" w:hAnsi="ＭＳ 明朝" w:hint="eastAsia"/>
                <w:color w:val="000000"/>
                <w:sz w:val="20"/>
                <w:szCs w:val="20"/>
              </w:rPr>
              <w:t>センチメートル以内ごとに長さ</w:t>
            </w:r>
            <w:r w:rsidRPr="00A66F55">
              <w:rPr>
                <w:rFonts w:ascii="ＭＳ 明朝" w:hAnsi="ＭＳ 明朝"/>
                <w:color w:val="000000"/>
                <w:sz w:val="20"/>
                <w:szCs w:val="20"/>
              </w:rPr>
              <w:t>150</w:t>
            </w:r>
            <w:r w:rsidRPr="00A66F55">
              <w:rPr>
                <w:rFonts w:ascii="ＭＳ 明朝" w:hAnsi="ＭＳ 明朝" w:hint="eastAsia"/>
                <w:color w:val="000000"/>
                <w:sz w:val="20"/>
                <w:szCs w:val="20"/>
              </w:rPr>
              <w:t>センチメートル以上の平たんな部分を設けること。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(5)</w:t>
            </w:r>
            <w:r w:rsidRPr="00A66F55">
              <w:rPr>
                <w:rFonts w:ascii="ＭＳ 明朝" w:hAnsi="ＭＳ 明朝" w:hint="eastAsia"/>
                <w:color w:val="000000"/>
                <w:sz w:val="20"/>
                <w:szCs w:val="20"/>
              </w:rPr>
              <w:t xml:space="preserve">　傾斜路の始終端部には、長さ</w:t>
            </w:r>
            <w:r w:rsidRPr="00A66F55">
              <w:rPr>
                <w:rFonts w:ascii="ＭＳ 明朝" w:hAnsi="ＭＳ 明朝"/>
                <w:color w:val="000000"/>
                <w:sz w:val="20"/>
                <w:szCs w:val="20"/>
              </w:rPr>
              <w:t>150</w:t>
            </w:r>
            <w:r w:rsidRPr="00A66F55">
              <w:rPr>
                <w:rFonts w:ascii="ＭＳ 明朝" w:hAnsi="ＭＳ 明朝" w:hint="eastAsia"/>
                <w:color w:val="000000"/>
                <w:sz w:val="20"/>
                <w:szCs w:val="20"/>
              </w:rPr>
              <w:t>センチメートル以上の平たんな部分を設けること。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(6)</w:t>
            </w:r>
            <w:r w:rsidRPr="00A66F55">
              <w:rPr>
                <w:rFonts w:ascii="ＭＳ 明朝" w:hAnsi="ＭＳ 明朝" w:hint="eastAsia"/>
                <w:color w:val="000000"/>
                <w:sz w:val="20"/>
                <w:szCs w:val="20"/>
              </w:rPr>
              <w:t xml:space="preserve">　傾斜路の両側には、側壁又は高さ</w:t>
            </w:r>
            <w:r w:rsidRPr="00A66F55">
              <w:rPr>
                <w:rFonts w:ascii="ＭＳ 明朝" w:hAnsi="ＭＳ 明朝"/>
                <w:color w:val="000000"/>
                <w:sz w:val="20"/>
                <w:szCs w:val="20"/>
              </w:rPr>
              <w:t>5</w:t>
            </w:r>
            <w:r w:rsidRPr="00A66F55">
              <w:rPr>
                <w:rFonts w:ascii="ＭＳ 明朝" w:hAnsi="ＭＳ 明朝" w:hint="eastAsia"/>
                <w:color w:val="000000"/>
                <w:sz w:val="20"/>
                <w:szCs w:val="20"/>
              </w:rPr>
              <w:t>センチメートル以上の立ち上がり部を設けること。</w:t>
            </w:r>
          </w:p>
          <w:p w:rsidR="00ED4A31" w:rsidRPr="00DC23FA"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(7)</w:t>
            </w:r>
            <w:r w:rsidRPr="00A66F55">
              <w:rPr>
                <w:rFonts w:ascii="ＭＳ 明朝" w:hAnsi="ＭＳ 明朝" w:hint="eastAsia"/>
                <w:color w:val="000000"/>
                <w:sz w:val="20"/>
                <w:szCs w:val="20"/>
              </w:rPr>
              <w:t xml:space="preserve">　必要に応じ、</w:t>
            </w:r>
            <w:r w:rsidRPr="00A66F55">
              <w:rPr>
                <w:rFonts w:ascii="ＭＳ 明朝" w:hAnsi="ＭＳ 明朝"/>
                <w:color w:val="000000"/>
                <w:sz w:val="20"/>
                <w:szCs w:val="20"/>
              </w:rPr>
              <w:t>6</w:t>
            </w:r>
            <w:r w:rsidRPr="00A66F55">
              <w:rPr>
                <w:rFonts w:ascii="ＭＳ 明朝" w:hAnsi="ＭＳ 明朝" w:hint="eastAsia"/>
                <w:color w:val="000000"/>
                <w:sz w:val="20"/>
                <w:szCs w:val="20"/>
              </w:rPr>
              <w:t>の項に定める構造の手すりを設けること。</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７</w:t>
            </w:r>
            <w:r>
              <w:rPr>
                <w:rFonts w:ascii="ＭＳ 明朝" w:hAnsi="ＭＳ 明朝" w:hint="eastAsia"/>
                <w:color w:val="000000"/>
                <w:sz w:val="20"/>
                <w:szCs w:val="20"/>
              </w:rPr>
              <w:t xml:space="preserve">　手すり</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の項に定める構造の階段及び</w:t>
            </w:r>
            <w:r w:rsidRPr="00A66F55">
              <w:rPr>
                <w:rFonts w:ascii="ＭＳ 明朝" w:hAnsi="ＭＳ 明朝"/>
                <w:color w:val="000000"/>
                <w:sz w:val="20"/>
                <w:szCs w:val="20"/>
              </w:rPr>
              <w:t>5</w:t>
            </w:r>
            <w:r w:rsidRPr="00A66F55">
              <w:rPr>
                <w:rFonts w:ascii="ＭＳ 明朝" w:hAnsi="ＭＳ 明朝" w:hint="eastAsia"/>
                <w:color w:val="000000"/>
                <w:sz w:val="20"/>
                <w:szCs w:val="20"/>
              </w:rPr>
              <w:t>の項に定める構造の傾斜路に設ける手すりは、次に掲げるものでなければならない。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高さ</w:t>
            </w:r>
            <w:r w:rsidRPr="00A66F55">
              <w:rPr>
                <w:rFonts w:ascii="ＭＳ 明朝" w:hAnsi="ＭＳ 明朝"/>
                <w:color w:val="000000"/>
                <w:sz w:val="20"/>
                <w:szCs w:val="20"/>
              </w:rPr>
              <w:t>75</w:t>
            </w:r>
            <w:r w:rsidRPr="00A66F55">
              <w:rPr>
                <w:rFonts w:ascii="ＭＳ 明朝" w:hAnsi="ＭＳ 明朝" w:hint="eastAsia"/>
                <w:color w:val="000000"/>
                <w:sz w:val="20"/>
                <w:szCs w:val="20"/>
              </w:rPr>
              <w:t>センチメートル以上</w:t>
            </w:r>
            <w:r w:rsidRPr="00A66F55">
              <w:rPr>
                <w:rFonts w:ascii="ＭＳ 明朝" w:hAnsi="ＭＳ 明朝"/>
                <w:color w:val="000000"/>
                <w:sz w:val="20"/>
                <w:szCs w:val="20"/>
              </w:rPr>
              <w:t>85</w:t>
            </w:r>
            <w:r w:rsidRPr="00A66F55">
              <w:rPr>
                <w:rFonts w:ascii="ＭＳ 明朝" w:hAnsi="ＭＳ 明朝" w:hint="eastAsia"/>
                <w:color w:val="000000"/>
                <w:sz w:val="20"/>
                <w:szCs w:val="20"/>
              </w:rPr>
              <w:t>センチメートル以下のものと高さ</w:t>
            </w:r>
            <w:r w:rsidRPr="00A66F55">
              <w:rPr>
                <w:rFonts w:ascii="ＭＳ 明朝" w:hAnsi="ＭＳ 明朝"/>
                <w:color w:val="000000"/>
                <w:sz w:val="20"/>
                <w:szCs w:val="20"/>
              </w:rPr>
              <w:t>65</w:t>
            </w:r>
            <w:r w:rsidRPr="00A66F55">
              <w:rPr>
                <w:rFonts w:ascii="ＭＳ 明朝" w:hAnsi="ＭＳ 明朝" w:hint="eastAsia"/>
                <w:color w:val="000000"/>
                <w:sz w:val="20"/>
                <w:szCs w:val="20"/>
              </w:rPr>
              <w:t>センチメートルのものとを併設すること。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階段の踊場及び傾斜路の平たんな部分の手すりは、連続して設けること。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握りやすい形状とすること。</w:t>
            </w:r>
          </w:p>
          <w:p w:rsidR="00ED4A31" w:rsidRPr="00DC23FA"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手すりは、階段及び段並びに傾斜路の始終端部から高齢者、障害者等の昇降に支障のない程度に床面と平行に延長し、両端を</w:t>
            </w:r>
            <w:r w:rsidRPr="00A66F55">
              <w:rPr>
                <w:rFonts w:ascii="ＭＳ 明朝" w:hAnsi="ＭＳ 明朝" w:hint="eastAsia"/>
                <w:color w:val="000000"/>
                <w:sz w:val="20"/>
                <w:szCs w:val="20"/>
              </w:rPr>
              <w:lastRenderedPageBreak/>
              <w:t>壁面又は下方へ巻き込むこと。</w:t>
            </w:r>
          </w:p>
        </w:tc>
      </w:tr>
      <w:tr w:rsidR="00ED4A31" w:rsidRPr="00E64D7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lastRenderedPageBreak/>
              <w:t>８</w:t>
            </w:r>
            <w:r>
              <w:rPr>
                <w:rFonts w:ascii="ＭＳ 明朝" w:hAnsi="ＭＳ 明朝" w:hint="eastAsia"/>
                <w:color w:val="000000"/>
                <w:sz w:val="20"/>
                <w:szCs w:val="20"/>
              </w:rPr>
              <w:t xml:space="preserve">　エレベーター</w:t>
            </w:r>
          </w:p>
        </w:tc>
        <w:tc>
          <w:tcPr>
            <w:tcW w:w="6237" w:type="dxa"/>
            <w:shd w:val="clear" w:color="auto" w:fill="auto"/>
          </w:tcPr>
          <w:p w:rsidR="00ED4A31" w:rsidRPr="00E64D7A" w:rsidRDefault="00ED4A31" w:rsidP="00617B4C">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(1)　エレベーターを設ける場合は、次に掲げるものでなければならない。</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ア</w:t>
            </w:r>
            <w:r w:rsidRPr="00E64D7A">
              <w:rPr>
                <w:rFonts w:ascii="ＭＳ 明朝" w:hAnsi="ＭＳ 明朝" w:hint="eastAsia"/>
                <w:color w:val="000000"/>
                <w:sz w:val="20"/>
                <w:szCs w:val="20"/>
              </w:rPr>
              <w:t xml:space="preserve">　籠及び昇降路の出入口の幅は、それぞれ80センチメートル以上とすること。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イ</w:t>
            </w:r>
            <w:r w:rsidRPr="00E64D7A">
              <w:rPr>
                <w:rFonts w:ascii="ＭＳ 明朝" w:hAnsi="ＭＳ 明朝" w:hint="eastAsia"/>
                <w:color w:val="000000"/>
                <w:sz w:val="20"/>
                <w:szCs w:val="20"/>
              </w:rPr>
              <w:t xml:space="preserve">　籠の奥行きは135センチメートル以上とし、籠の幅は140センチメートル以上とすること。ただし、籠の出入口が複数あるエレベーターであって、車いす使用者が円滑に乗降できる構造のものについては、この限りでない。</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ウ</w:t>
            </w:r>
            <w:r w:rsidRPr="00E64D7A">
              <w:rPr>
                <w:rFonts w:ascii="ＭＳ 明朝" w:hAnsi="ＭＳ 明朝" w:hint="eastAsia"/>
                <w:color w:val="000000"/>
                <w:sz w:val="20"/>
                <w:szCs w:val="20"/>
              </w:rPr>
              <w:t xml:space="preserve">　籠内に、籠が停止する予定の階及び籠の現在位置を表示する装置を設けること。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エ</w:t>
            </w:r>
            <w:r w:rsidRPr="00E64D7A">
              <w:rPr>
                <w:rFonts w:ascii="ＭＳ 明朝" w:hAnsi="ＭＳ 明朝" w:hint="eastAsia"/>
                <w:color w:val="000000"/>
                <w:sz w:val="20"/>
                <w:szCs w:val="20"/>
              </w:rPr>
              <w:t xml:space="preserve">　籠内に、籠が到着する階並びに籠及び昇降路の出入口の戸の開閉を音声により知らせる装置を設けること。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オ</w:t>
            </w:r>
            <w:r w:rsidRPr="00E64D7A">
              <w:rPr>
                <w:rFonts w:ascii="ＭＳ 明朝" w:hAnsi="ＭＳ 明朝" w:hint="eastAsia"/>
                <w:color w:val="000000"/>
                <w:sz w:val="20"/>
                <w:szCs w:val="20"/>
              </w:rPr>
              <w:t xml:space="preserve">　籠内には、戸の開閉状態等を確認することができる鏡を設けること。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カ</w:t>
            </w:r>
            <w:r w:rsidRPr="00E64D7A">
              <w:rPr>
                <w:rFonts w:ascii="ＭＳ 明朝" w:hAnsi="ＭＳ 明朝" w:hint="eastAsia"/>
                <w:color w:val="000000"/>
                <w:sz w:val="20"/>
                <w:szCs w:val="20"/>
              </w:rPr>
              <w:t xml:space="preserve">　籠内の左右両面の側板には、手すりを設けること。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キ</w:t>
            </w:r>
            <w:r w:rsidRPr="00E64D7A">
              <w:rPr>
                <w:rFonts w:ascii="ＭＳ 明朝" w:hAnsi="ＭＳ 明朝" w:hint="eastAsia"/>
                <w:color w:val="000000"/>
                <w:sz w:val="20"/>
                <w:szCs w:val="20"/>
              </w:rPr>
              <w:t xml:space="preserve">　籠内及び乗降ロビーに設ける操作盤は、車いす使用者が利用しやすい位置に設け、点字により表示する等視覚障害者が円滑に操作することができるような構造とすること。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ク</w:t>
            </w:r>
            <w:r w:rsidRPr="00E64D7A">
              <w:rPr>
                <w:rFonts w:ascii="ＭＳ 明朝" w:hAnsi="ＭＳ 明朝" w:hint="eastAsia"/>
                <w:color w:val="000000"/>
                <w:sz w:val="20"/>
                <w:szCs w:val="20"/>
              </w:rPr>
              <w:t xml:space="preserve">　籠内又は乗降ロビーに、到着する籠の昇降方向を音声により知らせる装置を設けること。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ケ</w:t>
            </w:r>
            <w:r w:rsidRPr="00E64D7A">
              <w:rPr>
                <w:rFonts w:ascii="ＭＳ 明朝" w:hAnsi="ＭＳ 明朝" w:hint="eastAsia"/>
                <w:color w:val="000000"/>
                <w:sz w:val="20"/>
                <w:szCs w:val="20"/>
              </w:rPr>
              <w:t xml:space="preserve">　乗降ロビーは高低差がないものとし、その幅及び奥行きは150センチメートル以上とすること。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コ</w:t>
            </w:r>
            <w:r w:rsidRPr="00E64D7A">
              <w:rPr>
                <w:rFonts w:ascii="ＭＳ 明朝" w:hAnsi="ＭＳ 明朝" w:hint="eastAsia"/>
                <w:color w:val="000000"/>
                <w:sz w:val="20"/>
                <w:szCs w:val="20"/>
              </w:rPr>
              <w:t xml:space="preserve">　乗降ロビーに、到着する籠の昇降方向を表示する装置を設けること。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サ</w:t>
            </w:r>
            <w:r w:rsidRPr="00E64D7A">
              <w:rPr>
                <w:rFonts w:ascii="ＭＳ 明朝" w:hAnsi="ＭＳ 明朝" w:hint="eastAsia"/>
                <w:color w:val="000000"/>
                <w:sz w:val="20"/>
                <w:szCs w:val="20"/>
              </w:rPr>
              <w:t xml:space="preserve">　籠及び昇降路の出入口の戸にガラスその他これに類するものがはめ込まれていること又は籠外及び籠内に画像を表示する設備が設置されていることにより、籠外にいる者と籠内にいる者が互いに視覚的に確認できる構造であること。</w:t>
            </w:r>
          </w:p>
          <w:p w:rsidR="00ED4A31" w:rsidRPr="00E64D7A" w:rsidRDefault="00ED4A31" w:rsidP="00617B4C">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(2)</w:t>
            </w:r>
            <w:r w:rsidR="0068383B">
              <w:rPr>
                <w:rFonts w:ascii="ＭＳ 明朝" w:hAnsi="ＭＳ 明朝" w:hint="eastAsia"/>
                <w:color w:val="000000"/>
                <w:sz w:val="20"/>
                <w:szCs w:val="20"/>
                <w:u w:val="single"/>
              </w:rPr>
              <w:t xml:space="preserve">　移動等円滑化された経路を構成するエレベーターの台数、籠</w:t>
            </w:r>
            <w:r w:rsidRPr="00E64D7A">
              <w:rPr>
                <w:rFonts w:ascii="ＭＳ 明朝" w:hAnsi="ＭＳ 明朝" w:hint="eastAsia"/>
                <w:color w:val="000000"/>
                <w:sz w:val="20"/>
                <w:szCs w:val="20"/>
                <w:u w:val="single"/>
              </w:rPr>
              <w:t>の内法幅及び内法奥行きは、当該施設の高齢者、障害者等の利用の状況を考慮して定めるものとする。</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９</w:t>
            </w:r>
            <w:r>
              <w:rPr>
                <w:rFonts w:ascii="ＭＳ 明朝" w:hAnsi="ＭＳ 明朝" w:hint="eastAsia"/>
                <w:color w:val="000000"/>
                <w:sz w:val="20"/>
                <w:szCs w:val="20"/>
              </w:rPr>
              <w:t xml:space="preserve">　エスカレーター</w:t>
            </w:r>
          </w:p>
        </w:tc>
        <w:tc>
          <w:tcPr>
            <w:tcW w:w="6237" w:type="dxa"/>
            <w:shd w:val="clear" w:color="auto" w:fill="auto"/>
          </w:tcPr>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エスカレーターを設ける場合は、次に掲げるものでなければならない。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踏面及び床面は、滑りにくい仕上げとすること。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緊急時に操作しやすい非常停止装置を分かりやすい位置に設けること。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くし板は、できるだけ薄くし、ステップ部分と区別しやすい色とすること。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ステップは、縁部分を識別しやすいように色で縁取りすること。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オ　行き先及び昇降方向を音声により知らせる設備を設けること。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w:t>
            </w:r>
            <w:r w:rsidRPr="00A66F55">
              <w:rPr>
                <w:rFonts w:ascii="ＭＳ 明朝" w:hAnsi="ＭＳ 明朝"/>
                <w:color w:val="000000"/>
                <w:sz w:val="20"/>
                <w:szCs w:val="20"/>
              </w:rPr>
              <w:t>7</w:t>
            </w:r>
            <w:r w:rsidRPr="00A66F55">
              <w:rPr>
                <w:rFonts w:ascii="ＭＳ 明朝" w:hAnsi="ＭＳ 明朝" w:hint="eastAsia"/>
                <w:color w:val="000000"/>
                <w:sz w:val="20"/>
                <w:szCs w:val="20"/>
              </w:rPr>
              <w:t>の項に定める構造のエレベーターを設けることが地形上又は構造上困難な施設には、乗降場ごとに、次に定める構造のエスカレーターを設けなければならない。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 xml:space="preserve">ア　</w:t>
            </w:r>
            <w:r w:rsidRPr="00A66F55">
              <w:rPr>
                <w:rFonts w:ascii="ＭＳ 明朝" w:hAnsi="ＭＳ 明朝"/>
                <w:color w:val="000000"/>
                <w:sz w:val="20"/>
                <w:szCs w:val="20"/>
              </w:rPr>
              <w:t>(1)</w:t>
            </w:r>
            <w:r w:rsidRPr="00A66F55">
              <w:rPr>
                <w:rFonts w:ascii="ＭＳ 明朝" w:hAnsi="ＭＳ 明朝" w:hint="eastAsia"/>
                <w:color w:val="000000"/>
                <w:sz w:val="20"/>
                <w:szCs w:val="20"/>
              </w:rPr>
              <w:t>に定める構造とすること。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車いす乗用ステップ付きエスカレーターとすること。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エスカレーターを操作する者を呼び出すための装置を設けること。</w:t>
            </w:r>
          </w:p>
          <w:p w:rsidR="00ED4A31" w:rsidRPr="00DC23FA"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上り専用のものと下り専用のものをそれぞれ設置すること。ただし、旅客が同時に双方向に移動することがない場合については、この限りでない。</w:t>
            </w:r>
          </w:p>
        </w:tc>
      </w:tr>
      <w:tr w:rsidR="00ED4A31" w:rsidRPr="00754FAD" w:rsidTr="00ED4A31">
        <w:tc>
          <w:tcPr>
            <w:tcW w:w="2127" w:type="dxa"/>
            <w:shd w:val="clear" w:color="auto" w:fill="auto"/>
          </w:tcPr>
          <w:p w:rsidR="00ED4A31" w:rsidRDefault="00ED4A31" w:rsidP="00617B4C">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10</w:t>
            </w:r>
            <w:r>
              <w:rPr>
                <w:rFonts w:ascii="ＭＳ 明朝" w:hAnsi="ＭＳ 明朝" w:hint="eastAsia"/>
                <w:color w:val="000000"/>
                <w:sz w:val="20"/>
                <w:szCs w:val="20"/>
              </w:rPr>
              <w:t xml:space="preserve">　鉄道の駅のホー</w:t>
            </w:r>
            <w:r>
              <w:rPr>
                <w:rFonts w:ascii="ＭＳ 明朝" w:hAnsi="ＭＳ 明朝" w:hint="eastAsia"/>
                <w:color w:val="000000"/>
                <w:sz w:val="20"/>
                <w:szCs w:val="20"/>
              </w:rPr>
              <w:lastRenderedPageBreak/>
              <w:t>ム</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hint="eastAsia"/>
                <w:color w:val="000000"/>
                <w:sz w:val="20"/>
                <w:szCs w:val="20"/>
              </w:rPr>
              <w:lastRenderedPageBreak/>
              <w:t>鉄道の駅のホームは、次に掲げるものでなければならない。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lastRenderedPageBreak/>
              <w:t>(1)</w:t>
            </w:r>
            <w:r w:rsidRPr="00A66F55">
              <w:rPr>
                <w:rFonts w:ascii="ＭＳ 明朝" w:hAnsi="ＭＳ 明朝" w:hint="eastAsia"/>
                <w:color w:val="000000"/>
                <w:sz w:val="20"/>
                <w:szCs w:val="20"/>
              </w:rPr>
              <w:t xml:space="preserve">　床面は、滑りにくい仕上げとすること。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ホームの両端には、転落防止のためのさくを設けること。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ホームと車両とのすき間及び段差は、可能な限り小さくすること。</w:t>
            </w:r>
          </w:p>
          <w:p w:rsidR="00ED4A31" w:rsidRPr="00754FAD"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ホーム上の設置物は、高齢者、障害者等の通行の支障とならないような位置に設けること。</w:t>
            </w:r>
          </w:p>
        </w:tc>
      </w:tr>
      <w:tr w:rsidR="00ED4A31" w:rsidRPr="00754FAD"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lastRenderedPageBreak/>
              <w:t>1</w:t>
            </w:r>
            <w:r>
              <w:rPr>
                <w:rFonts w:ascii="ＭＳ 明朝" w:hAnsi="ＭＳ 明朝" w:hint="eastAsia"/>
                <w:color w:val="000000"/>
                <w:sz w:val="20"/>
                <w:szCs w:val="20"/>
                <w:u w:val="single"/>
              </w:rPr>
              <w:t>1</w:t>
            </w:r>
            <w:r>
              <w:rPr>
                <w:rFonts w:ascii="ＭＳ 明朝" w:hAnsi="ＭＳ 明朝" w:hint="eastAsia"/>
                <w:color w:val="000000"/>
                <w:sz w:val="20"/>
                <w:szCs w:val="20"/>
              </w:rPr>
              <w:t xml:space="preserve">　バス停留所</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hint="eastAsia"/>
                <w:color w:val="000000"/>
                <w:sz w:val="20"/>
                <w:szCs w:val="20"/>
              </w:rPr>
              <w:t>バスターミナルのバス停留所は、次に掲げるものでなければならない。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バスの行き先、運行系統、時刻表等の案内標示は、次に定める構造とすること。</w:t>
            </w:r>
          </w:p>
          <w:p w:rsidR="00A66F55"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大きく分かりやすい文字、記号、図等で表記し、これらの色彩は地色と対比効果があるものとすること。</w:t>
            </w:r>
          </w:p>
          <w:p w:rsidR="00A66F55"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高齢者、障害者等の通行の支障とならないような位置に設けること。</w:t>
            </w:r>
          </w:p>
          <w:p w:rsidR="00A66F55"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高齢者、障害者等に見やすい高さに設けること。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照明装置を設ける場合は、判読性を高めるために適切な照度を確保すること。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オ　案内標示の周辺に車いす使用者が近づけるよう十分なスペースを確保すること。</w:t>
            </w:r>
          </w:p>
          <w:p w:rsidR="00ED4A31" w:rsidRPr="00754FAD"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上屋及びベンチを設けなければならない。</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2</w:t>
            </w:r>
            <w:r>
              <w:rPr>
                <w:rFonts w:ascii="ＭＳ 明朝" w:hAnsi="ＭＳ 明朝" w:hint="eastAsia"/>
                <w:color w:val="000000"/>
                <w:sz w:val="20"/>
                <w:szCs w:val="20"/>
              </w:rPr>
              <w:t xml:space="preserve">  タクシー乗り場</w:t>
            </w:r>
          </w:p>
        </w:tc>
        <w:tc>
          <w:tcPr>
            <w:tcW w:w="6237" w:type="dxa"/>
            <w:shd w:val="clear" w:color="auto" w:fill="auto"/>
          </w:tcPr>
          <w:p w:rsidR="00A66F55" w:rsidRPr="00A66F55" w:rsidRDefault="00A66F55" w:rsidP="00A66F55">
            <w:pPr>
              <w:spacing w:line="240" w:lineRule="exact"/>
              <w:ind w:firstLineChars="100" w:firstLine="200"/>
              <w:jc w:val="left"/>
              <w:rPr>
                <w:rFonts w:ascii="ＭＳ 明朝" w:hAnsi="ＭＳ 明朝"/>
                <w:color w:val="000000"/>
                <w:sz w:val="20"/>
                <w:szCs w:val="20"/>
              </w:rPr>
            </w:pPr>
            <w:r w:rsidRPr="00A66F55">
              <w:rPr>
                <w:rFonts w:ascii="ＭＳ 明朝" w:hAnsi="ＭＳ 明朝" w:hint="eastAsia"/>
                <w:color w:val="000000"/>
                <w:sz w:val="20"/>
                <w:szCs w:val="20"/>
              </w:rPr>
              <w:t>タクシー乗り場は、次に掲げるものでなければならない。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タクシー乗り場と車道との境界部分の段差は、</w:t>
            </w:r>
            <w:r w:rsidRPr="00A66F55">
              <w:rPr>
                <w:rFonts w:ascii="ＭＳ 明朝" w:hAnsi="ＭＳ 明朝"/>
                <w:color w:val="000000"/>
                <w:sz w:val="20"/>
                <w:szCs w:val="20"/>
              </w:rPr>
              <w:t>2</w:t>
            </w:r>
            <w:r w:rsidRPr="00A66F55">
              <w:rPr>
                <w:rFonts w:ascii="ＭＳ 明朝" w:hAnsi="ＭＳ 明朝" w:hint="eastAsia"/>
                <w:color w:val="000000"/>
                <w:sz w:val="20"/>
                <w:szCs w:val="20"/>
              </w:rPr>
              <w:t>センチメートルを標準とすること。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すりつけこう配は、</w:t>
            </w:r>
            <w:r w:rsidRPr="00A66F55">
              <w:rPr>
                <w:rFonts w:ascii="ＭＳ 明朝" w:hAnsi="ＭＳ 明朝"/>
                <w:color w:val="000000"/>
                <w:sz w:val="20"/>
                <w:szCs w:val="20"/>
              </w:rPr>
              <w:t>12</w:t>
            </w:r>
            <w:r w:rsidRPr="00A66F55">
              <w:rPr>
                <w:rFonts w:ascii="ＭＳ 明朝" w:hAnsi="ＭＳ 明朝" w:hint="eastAsia"/>
                <w:color w:val="000000"/>
                <w:sz w:val="20"/>
                <w:szCs w:val="20"/>
              </w:rPr>
              <w:t>分の</w:t>
            </w:r>
            <w:r w:rsidRPr="00A66F55">
              <w:rPr>
                <w:rFonts w:ascii="ＭＳ 明朝" w:hAnsi="ＭＳ 明朝"/>
                <w:color w:val="000000"/>
                <w:sz w:val="20"/>
                <w:szCs w:val="20"/>
              </w:rPr>
              <w:t>1</w:t>
            </w:r>
            <w:r w:rsidRPr="00A66F55">
              <w:rPr>
                <w:rFonts w:ascii="ＭＳ 明朝" w:hAnsi="ＭＳ 明朝" w:hint="eastAsia"/>
                <w:color w:val="000000"/>
                <w:sz w:val="20"/>
                <w:szCs w:val="20"/>
              </w:rPr>
              <w:t>を標準とすること。</w:t>
            </w:r>
          </w:p>
          <w:p w:rsidR="00ED4A31" w:rsidRPr="00DC23FA" w:rsidRDefault="00A66F55" w:rsidP="00A66F55">
            <w:pPr>
              <w:spacing w:line="240" w:lineRule="exact"/>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上屋及びベンチを設けること。</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3</w:t>
            </w:r>
            <w:r>
              <w:rPr>
                <w:rFonts w:ascii="ＭＳ 明朝" w:hAnsi="ＭＳ 明朝" w:hint="eastAsia"/>
                <w:color w:val="000000"/>
                <w:sz w:val="20"/>
                <w:szCs w:val="20"/>
              </w:rPr>
              <w:t xml:space="preserve">　便所</w:t>
            </w:r>
          </w:p>
        </w:tc>
        <w:tc>
          <w:tcPr>
            <w:tcW w:w="6237" w:type="dxa"/>
            <w:shd w:val="clear" w:color="auto" w:fill="auto"/>
          </w:tcPr>
          <w:p w:rsidR="00ED4A31" w:rsidRPr="005716CB" w:rsidRDefault="00ED4A31" w:rsidP="00617B4C">
            <w:pPr>
              <w:spacing w:line="240" w:lineRule="exact"/>
              <w:ind w:left="20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(1) 不特定かつ多数の者が利用し、又は主として高齢者、障害者等が利用する便所を設ける場合には、当該便所の全ては、次に掲げるものでなければならない。</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ア　便所の出入口の幅は、80センチメートル以上とすること。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イ　便所の出入口に戸を設ける場合は、高齢者、障害者等が容易に開閉して通過できる構造とすること。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ウ　(2)アに定める構造の便房 以外に便房を設ける場合は、高齢者、障害者等が容易に開閉して通過できる構造の戸、腰掛便座及び手すりを有するものを1以上(男子用及び女子用の区別があるときは、それぞれ1以上)設けること。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エ　床面は、粗面とし、又は滑りにくい材料で仕上げること。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オ　男子用小便器を設ける場合には、1以上は床置式の小便器、壁掛式の小便器(受け口の高さが35センチメートル以下のものに限る。)その他これらに類するものとし、手すりを便器の前面及び両側に設けること。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カ　洗面器及び洗面器周りの1以上（男子用及び女子用の区別があるときは、それぞれ１以上）は、高齢者、障害者等が円滑に利用できる構造とすること。</w:t>
            </w:r>
          </w:p>
          <w:p w:rsidR="00ED4A31" w:rsidRPr="005716CB" w:rsidRDefault="00ED4A31" w:rsidP="00617B4C">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キ　便所の出入口付近に、男子用及び女子用の区別（当該区別がある場合に限る。）並びに便所内部の主な構造を、音、点字その他の方法により視覚障害者に示すための設備を設けること。</w:t>
            </w:r>
          </w:p>
          <w:p w:rsidR="00ED4A31" w:rsidRDefault="00ED4A31" w:rsidP="00617B4C">
            <w:pPr>
              <w:spacing w:line="240" w:lineRule="exact"/>
              <w:ind w:leftChars="100" w:left="410" w:hangingChars="100" w:hanging="200"/>
              <w:jc w:val="left"/>
              <w:rPr>
                <w:rFonts w:ascii="ＭＳ 明朝" w:hAnsi="ＭＳ 明朝"/>
                <w:color w:val="000000"/>
                <w:sz w:val="20"/>
                <w:szCs w:val="20"/>
              </w:rPr>
            </w:pPr>
            <w:r w:rsidRPr="005716CB">
              <w:rPr>
                <w:rFonts w:ascii="ＭＳ 明朝" w:hAnsi="ＭＳ 明朝" w:hint="eastAsia"/>
                <w:color w:val="000000"/>
                <w:sz w:val="20"/>
                <w:szCs w:val="20"/>
                <w:u w:val="single"/>
              </w:rPr>
              <w:t>ク　便所は、分かりやすく利用しやすい位置に設けること。</w:t>
            </w:r>
          </w:p>
          <w:p w:rsidR="00ED4A31" w:rsidRPr="00E64D7A" w:rsidRDefault="00ED4A31" w:rsidP="00617B4C">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(2) 不特定かつ多数の者が利用し、又は主として高齢者、障害者等が利用する便所を設ける場合には、そのうち1以上(男子用及び女子用の区別があるときは、それぞれ1以上。ただし、構造上やむを得ないものについては、この限りではない。)は、次に掲げる</w:t>
            </w:r>
            <w:r>
              <w:rPr>
                <w:rFonts w:ascii="ＭＳ 明朝" w:hAnsi="ＭＳ 明朝" w:hint="eastAsia"/>
                <w:color w:val="000000"/>
                <w:sz w:val="20"/>
                <w:szCs w:val="20"/>
                <w:u w:val="single"/>
              </w:rPr>
              <w:t>ものでなければならない。</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 xml:space="preserve">ア　</w:t>
            </w:r>
            <w:r w:rsidRPr="00E64D7A">
              <w:rPr>
                <w:rFonts w:ascii="ＭＳ 明朝" w:hAnsi="ＭＳ 明朝"/>
                <w:color w:val="000000"/>
                <w:sz w:val="20"/>
                <w:szCs w:val="20"/>
                <w:u w:val="single"/>
              </w:rPr>
              <w:t>便所内に、次に掲げる構造の車いす使用者用便房を1以上設けること。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便房の出入口の幅は、80センチメートル以上とすること。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w:t>
            </w:r>
            <w:r>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便房の出入口の戸は、自動的に開閉する構造又は高齢者、障害者等が容易に開閉して通過できる構造とすること。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（ウ）</w:t>
            </w:r>
            <w:r>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便房の出入口及び床面には、段を設けないこと。ただし、</w:t>
            </w:r>
            <w:r>
              <w:rPr>
                <w:rFonts w:ascii="ＭＳ 明朝" w:hAnsi="ＭＳ 明朝" w:hint="eastAsia"/>
                <w:color w:val="000000"/>
                <w:sz w:val="20"/>
                <w:szCs w:val="20"/>
                <w:u w:val="single"/>
              </w:rPr>
              <w:t>６</w:t>
            </w:r>
            <w:r w:rsidRPr="00E64D7A">
              <w:rPr>
                <w:rFonts w:ascii="ＭＳ 明朝" w:hAnsi="ＭＳ 明朝"/>
                <w:color w:val="000000"/>
                <w:sz w:val="20"/>
                <w:szCs w:val="20"/>
                <w:u w:val="single"/>
              </w:rPr>
              <w:t>の項に定める構造の傾斜路</w:t>
            </w:r>
            <w:r w:rsidRPr="00E64D7A">
              <w:rPr>
                <w:rFonts w:ascii="ＭＳ 明朝" w:hAnsi="ＭＳ 明朝" w:hint="eastAsia"/>
                <w:color w:val="000000"/>
                <w:sz w:val="20"/>
                <w:szCs w:val="20"/>
                <w:u w:val="single"/>
              </w:rPr>
              <w:t>を設ける場合は</w:t>
            </w:r>
            <w:r w:rsidRPr="00E64D7A">
              <w:rPr>
                <w:rFonts w:ascii="ＭＳ 明朝" w:hAnsi="ＭＳ 明朝"/>
                <w:color w:val="000000"/>
                <w:sz w:val="20"/>
                <w:szCs w:val="20"/>
                <w:u w:val="single"/>
              </w:rPr>
              <w:t>、この限りでない。</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（エ）</w:t>
            </w:r>
            <w:r>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w:t>
            </w:r>
            <w:r w:rsidRPr="00E64D7A">
              <w:rPr>
                <w:rFonts w:ascii="ＭＳ 明朝" w:hAnsi="ＭＳ 明朝" w:hint="eastAsia"/>
                <w:color w:val="000000"/>
                <w:sz w:val="20"/>
                <w:szCs w:val="20"/>
                <w:u w:val="single"/>
              </w:rPr>
              <w:t>の戸又はその付近</w:t>
            </w:r>
            <w:r w:rsidRPr="00E64D7A">
              <w:rPr>
                <w:rFonts w:ascii="ＭＳ 明朝" w:hAnsi="ＭＳ 明朝"/>
                <w:color w:val="000000"/>
                <w:sz w:val="20"/>
                <w:szCs w:val="20"/>
                <w:u w:val="single"/>
              </w:rPr>
              <w:t>には、</w:t>
            </w:r>
            <w:r w:rsidRPr="00E64D7A">
              <w:rPr>
                <w:rFonts w:ascii="ＭＳ 明朝" w:hAnsi="ＭＳ 明朝" w:hint="eastAsia"/>
                <w:color w:val="000000"/>
                <w:sz w:val="20"/>
                <w:szCs w:val="20"/>
                <w:u w:val="single"/>
              </w:rPr>
              <w:t>車いす使用者</w:t>
            </w:r>
            <w:r w:rsidRPr="00E64D7A">
              <w:rPr>
                <w:rFonts w:ascii="ＭＳ 明朝" w:hAnsi="ＭＳ 明朝"/>
                <w:color w:val="000000"/>
                <w:sz w:val="20"/>
                <w:szCs w:val="20"/>
                <w:u w:val="single"/>
              </w:rPr>
              <w:t>が円滑に利用できる旨の表示を行うこと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（オ）</w:t>
            </w:r>
            <w:r w:rsidRPr="00E64D7A">
              <w:rPr>
                <w:rFonts w:ascii="ＭＳ 明朝" w:hAnsi="ＭＳ 明朝"/>
                <w:color w:val="000000"/>
                <w:sz w:val="20"/>
                <w:szCs w:val="20"/>
                <w:u w:val="single"/>
              </w:rPr>
              <w:t>便房には、車いす使用者が円滑に利用できる床面積を確保すること。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（カ）</w:t>
            </w:r>
            <w:r w:rsidRPr="00E64D7A">
              <w:rPr>
                <w:rFonts w:ascii="ＭＳ 明朝" w:hAnsi="ＭＳ 明朝"/>
                <w:color w:val="000000"/>
                <w:sz w:val="20"/>
                <w:szCs w:val="20"/>
                <w:u w:val="single"/>
              </w:rPr>
              <w:t>便房には、腰掛便座、手すり等を適切に配置すること。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（キ）洗面器及び洗面器周りの1以上は、高齢者、障害者等が円滑に利用できる構造とすること。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　便所内に、</w:t>
            </w:r>
            <w:r w:rsidRPr="00E64D7A">
              <w:rPr>
                <w:rFonts w:ascii="ＭＳ 明朝" w:hAnsi="ＭＳ 明朝"/>
                <w:color w:val="000000"/>
                <w:sz w:val="20"/>
                <w:szCs w:val="20"/>
                <w:u w:val="single"/>
              </w:rPr>
              <w:t>高齢者、障害者等が円滑に利用することができる次に掲げる構造の水洗器具を設けた便房を1以上設けること。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専用の汚物流しその他</w:t>
            </w:r>
            <w:r>
              <w:rPr>
                <w:rFonts w:ascii="ＭＳ 明朝" w:hAnsi="ＭＳ 明朝" w:hint="eastAsia"/>
                <w:color w:val="000000"/>
                <w:sz w:val="20"/>
                <w:szCs w:val="20"/>
                <w:u w:val="single"/>
              </w:rPr>
              <w:t>利用に</w:t>
            </w:r>
            <w:r w:rsidRPr="00E64D7A">
              <w:rPr>
                <w:rFonts w:ascii="ＭＳ 明朝" w:hAnsi="ＭＳ 明朝" w:hint="eastAsia"/>
                <w:color w:val="000000"/>
                <w:sz w:val="20"/>
                <w:szCs w:val="20"/>
                <w:u w:val="single"/>
              </w:rPr>
              <w:t>必要な設備を設けること。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w:t>
            </w:r>
            <w:r>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w:t>
            </w:r>
            <w:r w:rsidRPr="00E64D7A">
              <w:rPr>
                <w:rFonts w:ascii="ＭＳ 明朝" w:hAnsi="ＭＳ 明朝" w:hint="eastAsia"/>
                <w:color w:val="000000"/>
                <w:sz w:val="20"/>
                <w:szCs w:val="20"/>
                <w:u w:val="single"/>
              </w:rPr>
              <w:t>の戸又はその付近</w:t>
            </w:r>
            <w:r w:rsidRPr="00E64D7A">
              <w:rPr>
                <w:rFonts w:ascii="ＭＳ 明朝" w:hAnsi="ＭＳ 明朝"/>
                <w:color w:val="000000"/>
                <w:sz w:val="20"/>
                <w:szCs w:val="20"/>
                <w:u w:val="single"/>
              </w:rPr>
              <w:t>に</w:t>
            </w:r>
            <w:r w:rsidRPr="00E64D7A">
              <w:rPr>
                <w:rFonts w:ascii="ＭＳ 明朝" w:hAnsi="ＭＳ 明朝" w:hint="eastAsia"/>
                <w:color w:val="000000"/>
                <w:sz w:val="20"/>
                <w:szCs w:val="20"/>
                <w:u w:val="single"/>
              </w:rPr>
              <w:t>は、</w:t>
            </w:r>
            <w:r w:rsidRPr="00E64D7A">
              <w:rPr>
                <w:rFonts w:ascii="ＭＳ 明朝" w:hAnsi="ＭＳ 明朝"/>
                <w:color w:val="000000"/>
                <w:sz w:val="20"/>
                <w:szCs w:val="20"/>
                <w:u w:val="single"/>
              </w:rPr>
              <w:t>水洗器具を設けた便房である旨の表示を行うこと。</w:t>
            </w:r>
          </w:p>
          <w:p w:rsidR="00ED4A31" w:rsidRPr="00E64D7A" w:rsidRDefault="00ED4A31" w:rsidP="00617B4C">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ウ　便所内に、次に掲げる設備を設けた便房を１以上設けること。</w:t>
            </w:r>
          </w:p>
          <w:p w:rsidR="00ED4A31" w:rsidRPr="00E64D7A"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乳幼児を座らせることができる設備を設け</w:t>
            </w:r>
            <w:r w:rsidRPr="00E64D7A">
              <w:rPr>
                <w:rFonts w:ascii="ＭＳ 明朝" w:hAnsi="ＭＳ 明朝" w:hint="eastAsia"/>
                <w:color w:val="000000"/>
                <w:sz w:val="20"/>
                <w:szCs w:val="20"/>
                <w:u w:val="single"/>
              </w:rPr>
              <w:t>ること。</w:t>
            </w:r>
          </w:p>
          <w:p w:rsidR="00ED4A31" w:rsidRPr="005716CB" w:rsidRDefault="00ED4A31" w:rsidP="00617B4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rPr>
              <w:t>（</w:t>
            </w:r>
            <w:r w:rsidRPr="005716CB">
              <w:rPr>
                <w:rFonts w:ascii="ＭＳ 明朝" w:hAnsi="ＭＳ 明朝" w:hint="eastAsia"/>
                <w:color w:val="000000"/>
                <w:sz w:val="20"/>
                <w:szCs w:val="20"/>
                <w:u w:val="single"/>
              </w:rPr>
              <w:t>イ） 便房の出入口の戸又はその付近には、乳幼児を座らせることができる設備がある旨の表示を行うこと。</w:t>
            </w:r>
          </w:p>
          <w:p w:rsidR="00ED4A31" w:rsidRPr="00DC23FA" w:rsidRDefault="00ED4A31" w:rsidP="00617B4C">
            <w:pPr>
              <w:spacing w:line="240" w:lineRule="exact"/>
              <w:ind w:left="400" w:hangingChars="200" w:hanging="400"/>
              <w:jc w:val="left"/>
              <w:rPr>
                <w:rFonts w:ascii="ＭＳ 明朝" w:hAnsi="ＭＳ 明朝"/>
                <w:color w:val="000000"/>
                <w:sz w:val="20"/>
                <w:szCs w:val="20"/>
              </w:rPr>
            </w:pPr>
            <w:r w:rsidRPr="005716CB">
              <w:rPr>
                <w:rFonts w:ascii="ＭＳ 明朝" w:hAnsi="ＭＳ 明朝" w:hint="eastAsia"/>
                <w:color w:val="000000"/>
                <w:sz w:val="20"/>
                <w:szCs w:val="20"/>
                <w:u w:val="single"/>
              </w:rPr>
              <w:t xml:space="preserve">  エ　</w:t>
            </w:r>
            <w:r>
              <w:rPr>
                <w:rFonts w:ascii="ＭＳ 明朝" w:hAnsi="ＭＳ 明朝" w:hint="eastAsia"/>
                <w:color w:val="000000"/>
                <w:sz w:val="20"/>
                <w:szCs w:val="20"/>
                <w:u w:val="single"/>
              </w:rPr>
              <w:t>便所内に、</w:t>
            </w:r>
            <w:r w:rsidRPr="005716CB">
              <w:rPr>
                <w:rFonts w:ascii="ＭＳ 明朝" w:hAnsi="ＭＳ 明朝" w:hint="eastAsia"/>
                <w:color w:val="000000"/>
                <w:sz w:val="20"/>
                <w:szCs w:val="20"/>
                <w:u w:val="single"/>
              </w:rPr>
              <w:t>乳幼児のおむつ交換をすることができる設備を設け、当該便所の出入口の戸又はその付近には、それらの設備がある旨の表示をしなければならない。</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4</w:t>
            </w:r>
            <w:r>
              <w:rPr>
                <w:rFonts w:ascii="ＭＳ 明朝" w:hAnsi="ＭＳ 明朝" w:hint="eastAsia"/>
                <w:color w:val="000000"/>
                <w:sz w:val="20"/>
                <w:szCs w:val="20"/>
              </w:rPr>
              <w:t xml:space="preserve">  案内</w:t>
            </w:r>
            <w:r w:rsidRPr="00A0042A">
              <w:rPr>
                <w:rFonts w:ascii="ＭＳ 明朝" w:hAnsi="ＭＳ 明朝" w:hint="eastAsia"/>
                <w:color w:val="000000"/>
                <w:sz w:val="20"/>
                <w:szCs w:val="20"/>
                <w:u w:val="single"/>
              </w:rPr>
              <w:t>表</w:t>
            </w:r>
            <w:r>
              <w:rPr>
                <w:rFonts w:ascii="ＭＳ 明朝" w:hAnsi="ＭＳ 明朝" w:hint="eastAsia"/>
                <w:color w:val="000000"/>
                <w:sz w:val="20"/>
                <w:szCs w:val="20"/>
              </w:rPr>
              <w:t>示</w:t>
            </w:r>
          </w:p>
        </w:tc>
        <w:tc>
          <w:tcPr>
            <w:tcW w:w="6237" w:type="dxa"/>
            <w:shd w:val="clear" w:color="auto" w:fill="auto"/>
          </w:tcPr>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公共交通機関の車両等の運行（運航を含む。）に関する情報を文字等により表示するための設備及び音声により提供するための設備を備えなければならない。ただし、電気設備がない場合その他技術上の理由によりやむを得ない場合は、この限りで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エレベーターその他の昇降機、傾斜路、便所、乗車券等販売所、待合所、案内所若しくは休憩設備（以下この表において「主要な設備」という。）又は</w:t>
            </w:r>
            <w:r w:rsidRPr="00A66F55">
              <w:rPr>
                <w:rFonts w:ascii="ＭＳ 明朝" w:hAnsi="ＭＳ 明朝"/>
                <w:color w:val="000000"/>
                <w:sz w:val="20"/>
                <w:szCs w:val="20"/>
              </w:rPr>
              <w:t>(4)</w:t>
            </w:r>
            <w:r w:rsidRPr="00A66F55">
              <w:rPr>
                <w:rFonts w:ascii="ＭＳ 明朝" w:hAnsi="ＭＳ 明朝" w:hint="eastAsia"/>
                <w:color w:val="000000"/>
                <w:sz w:val="20"/>
                <w:szCs w:val="20"/>
              </w:rPr>
              <w:t>に定める構造の案内板その他の設備の付近には、これらの設備があることを表示する標識を設けなければならない。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公共用通路に直接通ずる出入口（鉄道の駅及び軌道の停留所にあっては、当該出入口又は改札口。以下この項において同じ。）の付近その他の適切な場所に、旅客施設の構造及び主要な設備の配置を音、点字その他の方法により視覚障害者に示すための設備を設け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公共用の通路に直接通ずる出入口の付近には、主要な設備の配置を表示し、次に定める構造の案内板その他の設備を備えなければならない。ただし、主要な設備の配置を容易に視認できる場合は、この限りで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大きく分かりやすい文字、記号、図等で表記し、これらの色彩は地色と対比効果があるものとすること。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高齢者、障害者等の通行の支障とならないような位置に設けること。</w:t>
            </w:r>
          </w:p>
          <w:p w:rsidR="00A66F55"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高齢者、障害者等に見やすい高さに設けること。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照明装置を設ける場合は、判読性を高めるために適切な照度を確保すること。</w:t>
            </w:r>
          </w:p>
          <w:p w:rsidR="00ED4A31"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オ　案内板その他の設備の周辺に車いす使用者が近づけるよう十分なスペースを確保すること。</w:t>
            </w:r>
          </w:p>
        </w:tc>
      </w:tr>
      <w:tr w:rsidR="00ED4A31" w:rsidRPr="00754FAD"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5</w:t>
            </w:r>
            <w:r w:rsidRPr="00754FAD">
              <w:rPr>
                <w:rFonts w:ascii="ＭＳ 明朝" w:hAnsi="ＭＳ 明朝" w:hint="eastAsia"/>
                <w:color w:val="000000"/>
                <w:sz w:val="20"/>
                <w:szCs w:val="20"/>
              </w:rPr>
              <w:t xml:space="preserve">　視覚障害者の安全かつ円滑な利用に必要な設備</w:t>
            </w:r>
          </w:p>
        </w:tc>
        <w:tc>
          <w:tcPr>
            <w:tcW w:w="6237" w:type="dxa"/>
            <w:shd w:val="clear" w:color="auto" w:fill="auto"/>
          </w:tcPr>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視覚障害者誘導用ブロックの構造は、次に掲げるものでなければならない。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大きさは、縦横それぞれ</w:t>
            </w:r>
            <w:r w:rsidRPr="00A66F55">
              <w:rPr>
                <w:rFonts w:ascii="ＭＳ 明朝" w:hAnsi="ＭＳ 明朝"/>
                <w:color w:val="000000"/>
                <w:sz w:val="20"/>
                <w:szCs w:val="20"/>
              </w:rPr>
              <w:t>30</w:t>
            </w:r>
            <w:r w:rsidRPr="00A66F55">
              <w:rPr>
                <w:rFonts w:ascii="ＭＳ 明朝" w:hAnsi="ＭＳ 明朝" w:hint="eastAsia"/>
                <w:color w:val="000000"/>
                <w:sz w:val="20"/>
                <w:szCs w:val="20"/>
              </w:rPr>
              <w:t>センチメートル又は</w:t>
            </w:r>
            <w:r w:rsidRPr="00A66F55">
              <w:rPr>
                <w:rFonts w:ascii="ＭＳ 明朝" w:hAnsi="ＭＳ 明朝"/>
                <w:color w:val="000000"/>
                <w:sz w:val="20"/>
                <w:szCs w:val="20"/>
              </w:rPr>
              <w:t>40</w:t>
            </w:r>
            <w:r w:rsidRPr="00A66F55">
              <w:rPr>
                <w:rFonts w:ascii="ＭＳ 明朝" w:hAnsi="ＭＳ 明朝" w:hint="eastAsia"/>
                <w:color w:val="000000"/>
                <w:sz w:val="20"/>
                <w:szCs w:val="20"/>
              </w:rPr>
              <w:t>センチメートルとすること。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色は、原則として黄色とすること。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材質は、十分な強度を有し、滑りにくく、耐久性に優れ、退色しにくく、及び輝度の低下が少ない素材とすること。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形状は、次のとおりとすること。</w:t>
            </w:r>
          </w:p>
          <w:p w:rsidR="00A66F55" w:rsidRPr="00A66F55" w:rsidRDefault="00A66F55" w:rsidP="00A66F55">
            <w:pPr>
              <w:spacing w:line="240" w:lineRule="exact"/>
              <w:ind w:leftChars="178" w:left="774" w:hangingChars="200" w:hanging="400"/>
              <w:jc w:val="left"/>
              <w:rPr>
                <w:rFonts w:ascii="ＭＳ 明朝" w:hAnsi="ＭＳ 明朝"/>
                <w:color w:val="000000"/>
                <w:sz w:val="20"/>
                <w:szCs w:val="20"/>
              </w:rPr>
            </w:pPr>
            <w:r w:rsidRPr="00A66F55">
              <w:rPr>
                <w:rFonts w:ascii="ＭＳ 明朝" w:hAnsi="ＭＳ 明朝" w:hint="eastAsia"/>
                <w:color w:val="000000"/>
                <w:sz w:val="20"/>
                <w:szCs w:val="20"/>
              </w:rPr>
              <w:t>（ア）　突起の形状は、視覚障害者が認識しやすいものとすること。</w:t>
            </w:r>
          </w:p>
          <w:p w:rsidR="00A66F55" w:rsidRPr="00A66F55" w:rsidRDefault="00A66F55" w:rsidP="00A66F55">
            <w:pPr>
              <w:spacing w:line="240" w:lineRule="exact"/>
              <w:ind w:leftChars="178" w:left="774" w:hangingChars="200" w:hanging="400"/>
              <w:jc w:val="left"/>
              <w:rPr>
                <w:rFonts w:ascii="ＭＳ 明朝" w:hAnsi="ＭＳ 明朝"/>
                <w:color w:val="000000"/>
                <w:sz w:val="20"/>
                <w:szCs w:val="20"/>
              </w:rPr>
            </w:pPr>
            <w:r w:rsidRPr="00A66F55">
              <w:rPr>
                <w:rFonts w:ascii="ＭＳ 明朝" w:hAnsi="ＭＳ 明朝" w:hint="eastAsia"/>
                <w:color w:val="000000"/>
                <w:sz w:val="20"/>
                <w:szCs w:val="20"/>
              </w:rPr>
              <w:t>（イ）　移動の方向を示す場合は、線状の突起とすること。</w:t>
            </w:r>
          </w:p>
          <w:p w:rsidR="00A66F55" w:rsidRPr="00A66F55" w:rsidRDefault="00A66F55" w:rsidP="00A66F55">
            <w:pPr>
              <w:spacing w:line="240" w:lineRule="exact"/>
              <w:ind w:leftChars="178" w:left="774" w:hangingChars="200" w:hanging="400"/>
              <w:jc w:val="left"/>
              <w:rPr>
                <w:rFonts w:ascii="ＭＳ 明朝" w:hAnsi="ＭＳ 明朝"/>
                <w:color w:val="000000"/>
                <w:sz w:val="20"/>
                <w:szCs w:val="20"/>
              </w:rPr>
            </w:pPr>
            <w:r w:rsidRPr="00A66F55">
              <w:rPr>
                <w:rFonts w:ascii="ＭＳ 明朝" w:hAnsi="ＭＳ 明朝" w:hint="eastAsia"/>
                <w:color w:val="000000"/>
                <w:sz w:val="20"/>
                <w:szCs w:val="20"/>
              </w:rPr>
              <w:t>（ウ）　視覚障害者の注意を喚起し、警告を促す場合は、点状の突起とすること。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次に定める場所には、</w:t>
            </w:r>
            <w:r w:rsidRPr="00A66F55">
              <w:rPr>
                <w:rFonts w:ascii="ＭＳ 明朝" w:hAnsi="ＭＳ 明朝"/>
                <w:color w:val="000000"/>
                <w:sz w:val="20"/>
                <w:szCs w:val="20"/>
              </w:rPr>
              <w:t>(1)</w:t>
            </w:r>
            <w:r w:rsidRPr="00A66F55">
              <w:rPr>
                <w:rFonts w:ascii="ＭＳ 明朝" w:hAnsi="ＭＳ 明朝" w:hint="eastAsia"/>
                <w:color w:val="000000"/>
                <w:sz w:val="20"/>
                <w:szCs w:val="20"/>
              </w:rPr>
              <w:t>に定める構造の視覚障害者誘導用ブロックを敷設しなければならない。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出入口から主要な通路、エレベーター、券売機、出札口、改札口又は乗降場に至る連続した経路</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階段、段及びエスカレーターの始終端部に近接した床面等の縦断勾配が急激に変化する場所</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鉄道の駅のホームの縁端及び両端</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エ　券売機、便所及び点字案内板の正面に至る経路</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オ　バス停留所及びタクシー乗り場の乗車口</w:t>
            </w:r>
          </w:p>
          <w:p w:rsidR="00ED4A31" w:rsidRPr="00754FAD"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w:t>
            </w:r>
            <w:r w:rsidRPr="00A66F55">
              <w:rPr>
                <w:rFonts w:ascii="ＭＳ 明朝" w:hAnsi="ＭＳ 明朝"/>
                <w:color w:val="000000"/>
                <w:sz w:val="20"/>
                <w:szCs w:val="20"/>
              </w:rPr>
              <w:t>3</w:t>
            </w:r>
            <w:r w:rsidRPr="00A66F55">
              <w:rPr>
                <w:rFonts w:ascii="ＭＳ 明朝" w:hAnsi="ＭＳ 明朝" w:hint="eastAsia"/>
                <w:color w:val="000000"/>
                <w:sz w:val="20"/>
                <w:szCs w:val="20"/>
              </w:rPr>
              <w:t>の項に定める構造の改札口の</w:t>
            </w:r>
            <w:r w:rsidRPr="00A66F55">
              <w:rPr>
                <w:rFonts w:ascii="ＭＳ 明朝" w:hAnsi="ＭＳ 明朝"/>
                <w:color w:val="000000"/>
                <w:sz w:val="20"/>
                <w:szCs w:val="20"/>
              </w:rPr>
              <w:t>1</w:t>
            </w:r>
            <w:r w:rsidRPr="00A66F55">
              <w:rPr>
                <w:rFonts w:ascii="ＭＳ 明朝" w:hAnsi="ＭＳ 明朝" w:hint="eastAsia"/>
                <w:color w:val="000000"/>
                <w:sz w:val="20"/>
                <w:szCs w:val="20"/>
              </w:rPr>
              <w:t>以上には、音により視覚障害者を誘導する装置を設けなければならない。</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6</w:t>
            </w:r>
            <w:r w:rsidRPr="004A5338">
              <w:rPr>
                <w:rFonts w:ascii="ＭＳ 明朝" w:hAnsi="ＭＳ 明朝" w:hint="eastAsia"/>
                <w:color w:val="000000"/>
                <w:sz w:val="20"/>
                <w:szCs w:val="20"/>
              </w:rPr>
              <w:t xml:space="preserve">　聴覚障害者の安全かつ円滑な利用に必要な設備</w:t>
            </w:r>
          </w:p>
        </w:tc>
        <w:tc>
          <w:tcPr>
            <w:tcW w:w="6237" w:type="dxa"/>
            <w:shd w:val="clear" w:color="auto" w:fill="auto"/>
          </w:tcPr>
          <w:p w:rsidR="00ED4A31" w:rsidRPr="00DC23FA" w:rsidRDefault="00A66F55" w:rsidP="00A66F55">
            <w:pPr>
              <w:spacing w:line="240" w:lineRule="exact"/>
              <w:ind w:firstLineChars="100" w:firstLine="200"/>
              <w:jc w:val="left"/>
              <w:rPr>
                <w:rFonts w:ascii="ＭＳ 明朝" w:hAnsi="ＭＳ 明朝"/>
                <w:color w:val="000000"/>
                <w:sz w:val="20"/>
                <w:szCs w:val="20"/>
              </w:rPr>
            </w:pPr>
            <w:r w:rsidRPr="004A5338">
              <w:rPr>
                <w:rFonts w:ascii="ＭＳ 明朝" w:hAnsi="ＭＳ 明朝" w:hint="eastAsia"/>
                <w:color w:val="000000"/>
                <w:sz w:val="20"/>
                <w:szCs w:val="20"/>
              </w:rPr>
              <w:t>主要な通路、乗降場及び出札口、案内所等のカウンターには、それぞれ</w:t>
            </w:r>
            <w:r w:rsidRPr="004A5338">
              <w:rPr>
                <w:rFonts w:ascii="ＭＳ 明朝" w:hAnsi="ＭＳ 明朝"/>
                <w:color w:val="000000"/>
                <w:sz w:val="20"/>
                <w:szCs w:val="20"/>
              </w:rPr>
              <w:t>1</w:t>
            </w:r>
            <w:r w:rsidRPr="004A5338">
              <w:rPr>
                <w:rFonts w:ascii="ＭＳ 明朝" w:hAnsi="ＭＳ 明朝" w:hint="eastAsia"/>
                <w:color w:val="000000"/>
                <w:sz w:val="20"/>
                <w:szCs w:val="20"/>
              </w:rPr>
              <w:t>以上文字により情報を表示するための設備を設けなければならない。</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7</w:t>
            </w:r>
            <w:r w:rsidRPr="004A5338">
              <w:rPr>
                <w:rFonts w:ascii="ＭＳ 明朝" w:hAnsi="ＭＳ 明朝" w:hint="eastAsia"/>
                <w:color w:val="000000"/>
                <w:sz w:val="20"/>
                <w:szCs w:val="20"/>
              </w:rPr>
              <w:t xml:space="preserve">　警報設備及び避難口誘導灯</w:t>
            </w:r>
          </w:p>
        </w:tc>
        <w:tc>
          <w:tcPr>
            <w:tcW w:w="6237" w:type="dxa"/>
            <w:shd w:val="clear" w:color="auto" w:fill="auto"/>
          </w:tcPr>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音響装置により火災を知らせる警報設備を設けなければならない。</w:t>
            </w:r>
          </w:p>
          <w:p w:rsidR="00ED4A31" w:rsidRPr="00DC23FA"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屋外へ通ずる出入口には、点滅型誘導灯を設けなければならない。</w:t>
            </w:r>
          </w:p>
        </w:tc>
      </w:tr>
      <w:tr w:rsidR="00ED4A31" w:rsidRPr="00DC23FA" w:rsidTr="00ED4A31">
        <w:tc>
          <w:tcPr>
            <w:tcW w:w="2127" w:type="dxa"/>
            <w:shd w:val="clear" w:color="auto" w:fill="auto"/>
          </w:tcPr>
          <w:p w:rsidR="00ED4A31" w:rsidRPr="00DC23FA" w:rsidRDefault="00ED4A31" w:rsidP="00617B4C">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8</w:t>
            </w:r>
            <w:r w:rsidRPr="004A5338">
              <w:rPr>
                <w:rFonts w:ascii="ＭＳ 明朝" w:hAnsi="ＭＳ 明朝" w:hint="eastAsia"/>
                <w:color w:val="000000"/>
                <w:sz w:val="20"/>
                <w:szCs w:val="20"/>
              </w:rPr>
              <w:t xml:space="preserve">　附帯設備</w:t>
            </w:r>
          </w:p>
        </w:tc>
        <w:tc>
          <w:tcPr>
            <w:tcW w:w="6237" w:type="dxa"/>
            <w:shd w:val="clear" w:color="auto" w:fill="auto"/>
          </w:tcPr>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(1)</w:t>
            </w:r>
            <w:r w:rsidRPr="00A66F55">
              <w:rPr>
                <w:rFonts w:ascii="ＭＳ 明朝" w:hAnsi="ＭＳ 明朝" w:hint="eastAsia"/>
                <w:color w:val="000000"/>
                <w:sz w:val="20"/>
                <w:szCs w:val="20"/>
              </w:rPr>
              <w:t xml:space="preserve">　券売機を設ける場合は、</w:t>
            </w:r>
            <w:r w:rsidRPr="00A66F55">
              <w:rPr>
                <w:rFonts w:ascii="ＭＳ 明朝" w:hAnsi="ＭＳ 明朝"/>
                <w:color w:val="000000"/>
                <w:sz w:val="20"/>
                <w:szCs w:val="20"/>
              </w:rPr>
              <w:t>1</w:t>
            </w:r>
            <w:r w:rsidRPr="00A66F55">
              <w:rPr>
                <w:rFonts w:ascii="ＭＳ 明朝" w:hAnsi="ＭＳ 明朝" w:hint="eastAsia"/>
                <w:color w:val="000000"/>
                <w:sz w:val="20"/>
                <w:szCs w:val="20"/>
              </w:rPr>
              <w:t>以上を高齢者、障害者等が利用しやすい位置に設け、次に掲げるものでなければならない。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前面には、車いす使用者が円滑に利用できるよう十分なスペースを確保すること。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操作ボタン、金銭投入口、金銭取出口等は、高齢者、障害者等が円滑に利用できるような構造とすること。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ウ　操作ボタンは、点字による表示を行うこと。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(2)</w:t>
            </w:r>
            <w:r w:rsidRPr="00A66F55">
              <w:rPr>
                <w:rFonts w:ascii="ＭＳ 明朝" w:hAnsi="ＭＳ 明朝" w:hint="eastAsia"/>
                <w:color w:val="000000"/>
                <w:sz w:val="20"/>
                <w:szCs w:val="20"/>
              </w:rPr>
              <w:t xml:space="preserve">　カウンター、記載台、公衆電話台等を設ける場合は、</w:t>
            </w:r>
            <w:r w:rsidRPr="00A66F55">
              <w:rPr>
                <w:rFonts w:ascii="ＭＳ 明朝" w:hAnsi="ＭＳ 明朝"/>
                <w:color w:val="000000"/>
                <w:sz w:val="20"/>
                <w:szCs w:val="20"/>
              </w:rPr>
              <w:t>1</w:t>
            </w:r>
            <w:r w:rsidRPr="00A66F55">
              <w:rPr>
                <w:rFonts w:ascii="ＭＳ 明朝" w:hAnsi="ＭＳ 明朝" w:hint="eastAsia"/>
                <w:color w:val="000000"/>
                <w:sz w:val="20"/>
                <w:szCs w:val="20"/>
              </w:rPr>
              <w:t>以上を高齢者、障害者等が利用しやすい位置に設け、車いす使用者が利用しやすい高さ、幅及び奥行きを確保しなければならない。</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(3)</w:t>
            </w:r>
            <w:r w:rsidRPr="00A66F55">
              <w:rPr>
                <w:rFonts w:ascii="ＭＳ 明朝" w:hAnsi="ＭＳ 明朝" w:hint="eastAsia"/>
                <w:color w:val="000000"/>
                <w:sz w:val="20"/>
                <w:szCs w:val="20"/>
              </w:rPr>
              <w:t xml:space="preserve">　水飲みを設ける場合は、</w:t>
            </w:r>
            <w:r w:rsidRPr="00A66F55">
              <w:rPr>
                <w:rFonts w:ascii="ＭＳ 明朝" w:hAnsi="ＭＳ 明朝"/>
                <w:color w:val="000000"/>
                <w:sz w:val="20"/>
                <w:szCs w:val="20"/>
              </w:rPr>
              <w:t>1</w:t>
            </w:r>
            <w:r w:rsidRPr="00A66F55">
              <w:rPr>
                <w:rFonts w:ascii="ＭＳ 明朝" w:hAnsi="ＭＳ 明朝" w:hint="eastAsia"/>
                <w:color w:val="000000"/>
                <w:sz w:val="20"/>
                <w:szCs w:val="20"/>
              </w:rPr>
              <w:t>以上を高齢者、障害者等が利用しやすい位置に設け、次に掲げるものでなければならない。</w:t>
            </w:r>
          </w:p>
          <w:p w:rsidR="00A66F55" w:rsidRPr="00A66F55" w:rsidRDefault="00A66F55" w:rsidP="00A66F55">
            <w:pPr>
              <w:spacing w:line="240" w:lineRule="exact"/>
              <w:ind w:leftChars="100" w:left="410"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車いす使用者が利用しやすい高さとし、周囲には十分なスペースを確保すること。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水栓は、光感知式、ボタン式又はレバー式とすること。</w:t>
            </w:r>
          </w:p>
          <w:p w:rsidR="00A66F55" w:rsidRPr="00A66F55"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(4)</w:t>
            </w:r>
            <w:r w:rsidRPr="00A66F55">
              <w:rPr>
                <w:rFonts w:ascii="ＭＳ 明朝" w:hAnsi="ＭＳ 明朝" w:hint="eastAsia"/>
                <w:color w:val="000000"/>
                <w:sz w:val="20"/>
                <w:szCs w:val="20"/>
              </w:rPr>
              <w:t xml:space="preserve">　自動販売機等を設ける場合は、</w:t>
            </w:r>
            <w:r w:rsidRPr="00A66F55">
              <w:rPr>
                <w:rFonts w:ascii="ＭＳ 明朝" w:hAnsi="ＭＳ 明朝"/>
                <w:color w:val="000000"/>
                <w:sz w:val="20"/>
                <w:szCs w:val="20"/>
              </w:rPr>
              <w:t>1</w:t>
            </w:r>
            <w:r w:rsidRPr="00A66F55">
              <w:rPr>
                <w:rFonts w:ascii="ＭＳ 明朝" w:hAnsi="ＭＳ 明朝" w:hint="eastAsia"/>
                <w:color w:val="000000"/>
                <w:sz w:val="20"/>
                <w:szCs w:val="20"/>
              </w:rPr>
              <w:t>以上を高齢者、障害者等が利用しやすい位置に設け、次に掲げるものでなければならない。</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ア　前面には、車いす使用者が円滑に利用できるよう十分なスペースを確保すること。</w:t>
            </w:r>
          </w:p>
          <w:p w:rsidR="00A66F55" w:rsidRPr="00A66F55" w:rsidRDefault="00A66F55" w:rsidP="00A66F55">
            <w:pPr>
              <w:spacing w:line="240" w:lineRule="exact"/>
              <w:ind w:leftChars="91" w:left="391" w:hangingChars="100" w:hanging="200"/>
              <w:jc w:val="left"/>
              <w:rPr>
                <w:rFonts w:ascii="ＭＳ 明朝" w:hAnsi="ＭＳ 明朝"/>
                <w:color w:val="000000"/>
                <w:sz w:val="20"/>
                <w:szCs w:val="20"/>
              </w:rPr>
            </w:pPr>
            <w:r w:rsidRPr="00A66F55">
              <w:rPr>
                <w:rFonts w:ascii="ＭＳ 明朝" w:hAnsi="ＭＳ 明朝" w:hint="eastAsia"/>
                <w:color w:val="000000"/>
                <w:sz w:val="20"/>
                <w:szCs w:val="20"/>
              </w:rPr>
              <w:t>イ　操作ボタン、金銭投入口、金銭取出口等は、高齢者、障害者等が円滑に利用できるような構造とすること。</w:t>
            </w:r>
          </w:p>
          <w:p w:rsidR="00ED4A31" w:rsidRPr="00DC23FA" w:rsidRDefault="00A66F55" w:rsidP="00A66F55">
            <w:pPr>
              <w:spacing w:line="240" w:lineRule="exact"/>
              <w:ind w:left="200" w:hangingChars="100" w:hanging="200"/>
              <w:jc w:val="left"/>
              <w:rPr>
                <w:rFonts w:ascii="ＭＳ 明朝" w:hAnsi="ＭＳ 明朝"/>
                <w:color w:val="000000"/>
                <w:sz w:val="20"/>
                <w:szCs w:val="20"/>
              </w:rPr>
            </w:pPr>
            <w:r w:rsidRPr="00A66F55">
              <w:rPr>
                <w:rFonts w:ascii="ＭＳ 明朝" w:hAnsi="ＭＳ 明朝"/>
                <w:color w:val="000000"/>
                <w:sz w:val="20"/>
                <w:szCs w:val="20"/>
              </w:rPr>
              <w:t>(5)</w:t>
            </w:r>
            <w:r w:rsidRPr="00A66F55">
              <w:rPr>
                <w:rFonts w:ascii="ＭＳ 明朝" w:hAnsi="ＭＳ 明朝" w:hint="eastAsia"/>
                <w:color w:val="000000"/>
                <w:sz w:val="20"/>
                <w:szCs w:val="20"/>
              </w:rPr>
              <w:t xml:space="preserve">　ベンチを設ける場合は、高齢者、障害者等の通行の支障とならないような位置に設け、両端に手すり又は大きめの肘掛けのあるものを</w:t>
            </w:r>
            <w:r w:rsidRPr="00A66F55">
              <w:rPr>
                <w:rFonts w:ascii="ＭＳ 明朝" w:hAnsi="ＭＳ 明朝"/>
                <w:color w:val="000000"/>
                <w:sz w:val="20"/>
                <w:szCs w:val="20"/>
              </w:rPr>
              <w:t>2</w:t>
            </w:r>
            <w:r w:rsidRPr="00A66F55">
              <w:rPr>
                <w:rFonts w:ascii="ＭＳ 明朝" w:hAnsi="ＭＳ 明朝" w:hint="eastAsia"/>
                <w:color w:val="000000"/>
                <w:sz w:val="20"/>
                <w:szCs w:val="20"/>
              </w:rPr>
              <w:t>以上設けなければならない。</w:t>
            </w:r>
          </w:p>
        </w:tc>
      </w:tr>
    </w:tbl>
    <w:p w:rsidR="003A175B" w:rsidRDefault="003A175B"/>
    <w:p w:rsidR="00ED4A31" w:rsidRDefault="00ED4A31" w:rsidP="00ED4A31">
      <w:pPr>
        <w:spacing w:line="240" w:lineRule="exact"/>
        <w:jc w:val="left"/>
        <w:rPr>
          <w:rFonts w:ascii="ＭＳ 明朝" w:hAnsi="ＭＳ 明朝"/>
          <w:color w:val="000000"/>
          <w:sz w:val="20"/>
          <w:szCs w:val="20"/>
        </w:rPr>
      </w:pPr>
    </w:p>
    <w:p w:rsidR="00ED4A31" w:rsidRPr="00A90CD5" w:rsidRDefault="00ED4A31" w:rsidP="00ED4A31">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別表第９（第４条第２項）</w:t>
      </w:r>
    </w:p>
    <w:p w:rsidR="00ED4A31" w:rsidRPr="00A90CD5" w:rsidRDefault="00ED4A31" w:rsidP="00ED4A31">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（平</w:t>
      </w:r>
      <w:r w:rsidRPr="00A90CD5">
        <w:rPr>
          <w:rFonts w:ascii="ＭＳ 明朝" w:hAnsi="ＭＳ 明朝"/>
          <w:color w:val="000000"/>
          <w:sz w:val="20"/>
          <w:szCs w:val="20"/>
        </w:rPr>
        <w:t>16</w:t>
      </w:r>
      <w:r w:rsidRPr="00A90CD5">
        <w:rPr>
          <w:rFonts w:ascii="ＭＳ 明朝" w:hAnsi="ＭＳ 明朝" w:hint="eastAsia"/>
          <w:color w:val="000000"/>
          <w:sz w:val="20"/>
          <w:szCs w:val="20"/>
        </w:rPr>
        <w:t>規則</w:t>
      </w:r>
      <w:r w:rsidRPr="00A90CD5">
        <w:rPr>
          <w:rFonts w:ascii="ＭＳ 明朝" w:hAnsi="ＭＳ 明朝"/>
          <w:color w:val="000000"/>
          <w:sz w:val="20"/>
          <w:szCs w:val="20"/>
        </w:rPr>
        <w:t>103</w:t>
      </w:r>
      <w:r w:rsidRPr="00A90CD5">
        <w:rPr>
          <w:rFonts w:ascii="ＭＳ 明朝" w:hAnsi="ＭＳ 明朝" w:hint="eastAsia"/>
          <w:color w:val="000000"/>
          <w:sz w:val="20"/>
          <w:szCs w:val="20"/>
        </w:rPr>
        <w:t>・平</w:t>
      </w:r>
      <w:r w:rsidRPr="00A90CD5">
        <w:rPr>
          <w:rFonts w:ascii="ＭＳ 明朝" w:hAnsi="ＭＳ 明朝"/>
          <w:color w:val="000000"/>
          <w:sz w:val="20"/>
          <w:szCs w:val="20"/>
        </w:rPr>
        <w:t>17</w:t>
      </w:r>
      <w:r w:rsidRPr="00A90CD5">
        <w:rPr>
          <w:rFonts w:ascii="ＭＳ 明朝" w:hAnsi="ＭＳ 明朝" w:hint="eastAsia"/>
          <w:color w:val="000000"/>
          <w:sz w:val="20"/>
          <w:szCs w:val="20"/>
        </w:rPr>
        <w:t>規則</w:t>
      </w:r>
      <w:r w:rsidRPr="00A90CD5">
        <w:rPr>
          <w:rFonts w:ascii="ＭＳ 明朝" w:hAnsi="ＭＳ 明朝"/>
          <w:color w:val="000000"/>
          <w:sz w:val="20"/>
          <w:szCs w:val="20"/>
        </w:rPr>
        <w:t>50</w:t>
      </w:r>
      <w:r w:rsidRPr="00A90CD5">
        <w:rPr>
          <w:rFonts w:ascii="ＭＳ 明朝" w:hAnsi="ＭＳ 明朝" w:hint="eastAsia"/>
          <w:color w:val="000000"/>
          <w:sz w:val="20"/>
          <w:szCs w:val="20"/>
        </w:rPr>
        <w:t>・平</w:t>
      </w:r>
      <w:r w:rsidRPr="00A90CD5">
        <w:rPr>
          <w:rFonts w:ascii="ＭＳ 明朝" w:hAnsi="ＭＳ 明朝"/>
          <w:color w:val="000000"/>
          <w:sz w:val="20"/>
          <w:szCs w:val="20"/>
        </w:rPr>
        <w:t>20</w:t>
      </w:r>
      <w:r w:rsidRPr="00A90CD5">
        <w:rPr>
          <w:rFonts w:ascii="ＭＳ 明朝" w:hAnsi="ＭＳ 明朝" w:hint="eastAsia"/>
          <w:color w:val="000000"/>
          <w:sz w:val="20"/>
          <w:szCs w:val="20"/>
        </w:rPr>
        <w:t>規則８・平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68</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81</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85</w:t>
      </w:r>
      <w:r w:rsidRPr="00A90CD5">
        <w:rPr>
          <w:rFonts w:ascii="ＭＳ 明朝" w:hAnsi="ＭＳ 明朝" w:hint="eastAsia"/>
          <w:color w:val="000000"/>
          <w:sz w:val="20"/>
          <w:szCs w:val="20"/>
        </w:rPr>
        <w:t>・令元規則</w:t>
      </w:r>
      <w:r w:rsidRPr="00A90CD5">
        <w:rPr>
          <w:rFonts w:ascii="ＭＳ 明朝" w:hAnsi="ＭＳ 明朝"/>
          <w:color w:val="000000"/>
          <w:sz w:val="20"/>
          <w:szCs w:val="20"/>
        </w:rPr>
        <w:t>19</w:t>
      </w:r>
      <w:r w:rsidRPr="00A90CD5">
        <w:rPr>
          <w:rFonts w:ascii="ＭＳ 明朝" w:hAnsi="ＭＳ 明朝" w:hint="eastAsia"/>
          <w:color w:val="000000"/>
          <w:sz w:val="20"/>
          <w:szCs w:val="20"/>
        </w:rPr>
        <w:t>・一部改正）</w:t>
      </w:r>
    </w:p>
    <w:p w:rsidR="00ED4A31" w:rsidRPr="00A90CD5" w:rsidRDefault="00ED4A31" w:rsidP="00ED4A31">
      <w:pPr>
        <w:spacing w:line="240" w:lineRule="exact"/>
        <w:jc w:val="left"/>
        <w:rPr>
          <w:rFonts w:ascii="ＭＳ 明朝" w:hAnsi="ＭＳ 明朝"/>
          <w:color w:val="000000"/>
          <w:sz w:val="20"/>
          <w:szCs w:val="20"/>
        </w:rPr>
      </w:pPr>
    </w:p>
    <w:p w:rsidR="00ED4A31" w:rsidRPr="00A90CD5" w:rsidRDefault="00ED4A31" w:rsidP="00ED4A31">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４　公共交通機関の施設</w:t>
      </w:r>
    </w:p>
    <w:tbl>
      <w:tblPr>
        <w:tblW w:w="0" w:type="auto"/>
        <w:tblInd w:w="5" w:type="dxa"/>
        <w:tblLayout w:type="fixed"/>
        <w:tblCellMar>
          <w:left w:w="0" w:type="dxa"/>
          <w:right w:w="0" w:type="dxa"/>
        </w:tblCellMar>
        <w:tblLook w:val="0000" w:firstRow="0" w:lastRow="0" w:firstColumn="0" w:lastColumn="0" w:noHBand="0" w:noVBand="0"/>
      </w:tblPr>
      <w:tblGrid>
        <w:gridCol w:w="2211"/>
        <w:gridCol w:w="425"/>
        <w:gridCol w:w="425"/>
        <w:gridCol w:w="425"/>
        <w:gridCol w:w="425"/>
        <w:gridCol w:w="425"/>
        <w:gridCol w:w="425"/>
        <w:gridCol w:w="340"/>
        <w:gridCol w:w="340"/>
        <w:gridCol w:w="340"/>
        <w:gridCol w:w="340"/>
        <w:gridCol w:w="340"/>
        <w:gridCol w:w="340"/>
        <w:gridCol w:w="340"/>
        <w:gridCol w:w="340"/>
        <w:gridCol w:w="340"/>
        <w:gridCol w:w="340"/>
        <w:gridCol w:w="340"/>
        <w:gridCol w:w="420"/>
      </w:tblGrid>
      <w:tr w:rsidR="00ED4A31" w:rsidRPr="00A90CD5" w:rsidTr="00617B4C">
        <w:tc>
          <w:tcPr>
            <w:tcW w:w="2211" w:type="dxa"/>
            <w:vMerge w:val="restart"/>
            <w:tcBorders>
              <w:top w:val="single" w:sz="4" w:space="0" w:color="000000"/>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区分</w:t>
            </w:r>
          </w:p>
        </w:tc>
        <w:tc>
          <w:tcPr>
            <w:tcW w:w="6710" w:type="dxa"/>
            <w:gridSpan w:val="18"/>
            <w:tcBorders>
              <w:top w:val="single" w:sz="4" w:space="0" w:color="000000"/>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整備項目</w:t>
            </w:r>
          </w:p>
        </w:tc>
      </w:tr>
      <w:tr w:rsidR="00ED4A31" w:rsidRPr="00A90CD5" w:rsidTr="00617B4C">
        <w:tc>
          <w:tcPr>
            <w:tcW w:w="2211" w:type="dxa"/>
            <w:vMerge/>
            <w:tcBorders>
              <w:top w:val="single" w:sz="4" w:space="0" w:color="000000"/>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p>
        </w:tc>
        <w:tc>
          <w:tcPr>
            <w:tcW w:w="425" w:type="dxa"/>
            <w:tcBorders>
              <w:top w:val="nil"/>
              <w:left w:val="nil"/>
              <w:bottom w:val="single" w:sz="4" w:space="0" w:color="000000"/>
              <w:right w:val="single" w:sz="4" w:space="0" w:color="000000"/>
            </w:tcBorders>
          </w:tcPr>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1</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移</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動</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等</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円</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滑</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化</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さ</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れ</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た</w:t>
            </w:r>
          </w:p>
          <w:p w:rsidR="00ED4A31"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経</w:t>
            </w:r>
          </w:p>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路</w:t>
            </w:r>
          </w:p>
        </w:tc>
        <w:tc>
          <w:tcPr>
            <w:tcW w:w="425"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2</w:t>
            </w:r>
            <w:r w:rsidRPr="00A90CD5">
              <w:rPr>
                <w:rFonts w:ascii="ＭＳ 明朝" w:hAnsi="ＭＳ 明朝" w:hint="eastAsia"/>
                <w:color w:val="000000"/>
                <w:sz w:val="20"/>
                <w:szCs w:val="20"/>
              </w:rPr>
              <w:t xml:space="preserve">　出</w:t>
            </w:r>
          </w:p>
          <w:p w:rsidR="00ED4A31"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入</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3</w:t>
            </w:r>
            <w:r w:rsidRPr="00A90CD5">
              <w:rPr>
                <w:rFonts w:ascii="ＭＳ 明朝" w:hAnsi="ＭＳ 明朝" w:hint="eastAsia"/>
                <w:color w:val="000000"/>
                <w:sz w:val="20"/>
                <w:szCs w:val="20"/>
              </w:rPr>
              <w:t xml:space="preserve">　通</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425"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4</w:t>
            </w:r>
            <w:r w:rsidRPr="00A90CD5">
              <w:rPr>
                <w:rFonts w:ascii="ＭＳ 明朝" w:hAnsi="ＭＳ 明朝" w:hint="eastAsia"/>
                <w:color w:val="000000"/>
                <w:sz w:val="20"/>
                <w:szCs w:val="20"/>
              </w:rPr>
              <w:t xml:space="preserve">　改</w:t>
            </w:r>
          </w:p>
          <w:p w:rsidR="00ED4A31"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札</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5</w:t>
            </w:r>
            <w:r w:rsidRPr="00A90CD5">
              <w:rPr>
                <w:rFonts w:ascii="ＭＳ 明朝" w:hAnsi="ＭＳ 明朝" w:hint="eastAsia"/>
                <w:color w:val="000000"/>
                <w:sz w:val="20"/>
                <w:szCs w:val="20"/>
              </w:rPr>
              <w:t xml:space="preserve">　階</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段</w:t>
            </w:r>
          </w:p>
        </w:tc>
        <w:tc>
          <w:tcPr>
            <w:tcW w:w="425"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6</w:t>
            </w:r>
            <w:r w:rsidRPr="00A90CD5">
              <w:rPr>
                <w:rFonts w:ascii="ＭＳ 明朝" w:hAnsi="ＭＳ 明朝" w:hint="eastAsia"/>
                <w:color w:val="000000"/>
                <w:sz w:val="20"/>
                <w:szCs w:val="20"/>
              </w:rPr>
              <w:t xml:space="preserve">　傾</w:t>
            </w:r>
          </w:p>
          <w:p w:rsidR="00ED4A31"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斜</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7</w:t>
            </w:r>
            <w:r w:rsidRPr="00A90CD5">
              <w:rPr>
                <w:rFonts w:ascii="ＭＳ 明朝" w:hAnsi="ＭＳ 明朝" w:hint="eastAsia"/>
                <w:color w:val="000000"/>
                <w:sz w:val="20"/>
                <w:szCs w:val="20"/>
              </w:rPr>
              <w:t xml:space="preserve">　手すり</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8</w:t>
            </w:r>
            <w:r w:rsidRPr="00A90CD5">
              <w:rPr>
                <w:rFonts w:ascii="ＭＳ 明朝" w:hAnsi="ＭＳ 明朝" w:hint="eastAsia"/>
                <w:color w:val="000000"/>
                <w:sz w:val="20"/>
                <w:szCs w:val="20"/>
              </w:rPr>
              <w:t xml:space="preserve">　エレベーター</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9</w:t>
            </w:r>
            <w:r w:rsidRPr="00A90CD5">
              <w:rPr>
                <w:rFonts w:ascii="ＭＳ 明朝" w:hAnsi="ＭＳ 明朝" w:hint="eastAsia"/>
                <w:color w:val="000000"/>
                <w:sz w:val="20"/>
                <w:szCs w:val="20"/>
              </w:rPr>
              <w:t xml:space="preserve">　エスカレーター</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10</w:t>
            </w:r>
            <w:r w:rsidRPr="00A90CD5">
              <w:rPr>
                <w:rFonts w:ascii="ＭＳ 明朝" w:hAnsi="ＭＳ 明朝" w:hint="eastAsia"/>
                <w:color w:val="000000"/>
                <w:sz w:val="20"/>
                <w:szCs w:val="20"/>
              </w:rPr>
              <w:t xml:space="preserve">　鉄道の駅のホーム</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1</w:t>
            </w:r>
            <w:r w:rsidRPr="00A90CD5">
              <w:rPr>
                <w:rFonts w:ascii="ＭＳ 明朝" w:hAnsi="ＭＳ 明朝" w:hint="eastAsia"/>
                <w:color w:val="000000"/>
                <w:sz w:val="20"/>
                <w:szCs w:val="20"/>
              </w:rPr>
              <w:t xml:space="preserve">　バス停留所</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2</w:t>
            </w:r>
            <w:r w:rsidRPr="00A90CD5">
              <w:rPr>
                <w:rFonts w:ascii="ＭＳ 明朝" w:hAnsi="ＭＳ 明朝" w:hint="eastAsia"/>
                <w:color w:val="000000"/>
                <w:sz w:val="20"/>
                <w:szCs w:val="20"/>
              </w:rPr>
              <w:t xml:space="preserve">　タクシー乗り場</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3</w:t>
            </w:r>
            <w:r w:rsidRPr="00A90CD5">
              <w:rPr>
                <w:rFonts w:ascii="ＭＳ 明朝" w:hAnsi="ＭＳ 明朝" w:hint="eastAsia"/>
                <w:color w:val="000000"/>
                <w:sz w:val="20"/>
                <w:szCs w:val="20"/>
              </w:rPr>
              <w:t xml:space="preserve">　便所</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4</w:t>
            </w:r>
            <w:r w:rsidRPr="00A90CD5">
              <w:rPr>
                <w:rFonts w:ascii="ＭＳ 明朝" w:hAnsi="ＭＳ 明朝" w:hint="eastAsia"/>
                <w:color w:val="000000"/>
                <w:sz w:val="20"/>
                <w:szCs w:val="20"/>
              </w:rPr>
              <w:t xml:space="preserve">　案内</w:t>
            </w:r>
            <w:r w:rsidRPr="00A90CD5">
              <w:rPr>
                <w:rFonts w:ascii="ＭＳ 明朝" w:hAnsi="ＭＳ 明朝" w:hint="eastAsia"/>
                <w:color w:val="000000"/>
                <w:sz w:val="20"/>
                <w:szCs w:val="20"/>
                <w:u w:val="single"/>
              </w:rPr>
              <w:t>標</w:t>
            </w:r>
            <w:r w:rsidRPr="00A90CD5">
              <w:rPr>
                <w:rFonts w:ascii="ＭＳ 明朝" w:hAnsi="ＭＳ 明朝" w:hint="eastAsia"/>
                <w:color w:val="000000"/>
                <w:sz w:val="20"/>
                <w:szCs w:val="20"/>
              </w:rPr>
              <w:t>示</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5</w:t>
            </w:r>
            <w:r w:rsidRPr="00A90CD5">
              <w:rPr>
                <w:rFonts w:ascii="ＭＳ 明朝" w:hAnsi="ＭＳ 明朝" w:hint="eastAsia"/>
                <w:color w:val="000000"/>
                <w:sz w:val="20"/>
                <w:szCs w:val="20"/>
              </w:rPr>
              <w:t xml:space="preserve">　視覚障害者の安全かつ円滑な利用に必要な設備</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6</w:t>
            </w:r>
            <w:r w:rsidRPr="00A90CD5">
              <w:rPr>
                <w:rFonts w:ascii="ＭＳ 明朝" w:hAnsi="ＭＳ 明朝" w:hint="eastAsia"/>
                <w:color w:val="000000"/>
                <w:sz w:val="20"/>
                <w:szCs w:val="20"/>
              </w:rPr>
              <w:t xml:space="preserve">　聴覚障害者の安全かつ円滑な利用に必要な設備</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7</w:t>
            </w:r>
            <w:r w:rsidRPr="00A90CD5">
              <w:rPr>
                <w:rFonts w:ascii="ＭＳ 明朝" w:hAnsi="ＭＳ 明朝" w:hint="eastAsia"/>
                <w:color w:val="000000"/>
                <w:sz w:val="20"/>
                <w:szCs w:val="20"/>
              </w:rPr>
              <w:t xml:space="preserve">　警報設備及び避難口誘導灯</w:t>
            </w:r>
          </w:p>
        </w:tc>
        <w:tc>
          <w:tcPr>
            <w:tcW w:w="420" w:type="dxa"/>
            <w:tcBorders>
              <w:top w:val="nil"/>
              <w:left w:val="nil"/>
              <w:bottom w:val="single" w:sz="4" w:space="0" w:color="000000"/>
              <w:right w:val="single" w:sz="4" w:space="0" w:color="000000"/>
            </w:tcBorders>
          </w:tcPr>
          <w:p w:rsidR="00ED4A31" w:rsidRDefault="00ED4A31" w:rsidP="00617B4C">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8</w:t>
            </w:r>
            <w:r w:rsidRPr="00A90CD5">
              <w:rPr>
                <w:rFonts w:ascii="ＭＳ 明朝" w:hAnsi="ＭＳ 明朝" w:hint="eastAsia"/>
                <w:color w:val="000000"/>
                <w:sz w:val="20"/>
                <w:szCs w:val="20"/>
              </w:rPr>
              <w:t xml:space="preserve">　附</w:t>
            </w:r>
          </w:p>
          <w:p w:rsidR="00ED4A31"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帯</w:t>
            </w:r>
          </w:p>
          <w:p w:rsidR="00ED4A31"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設</w:t>
            </w:r>
          </w:p>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備</w:t>
            </w:r>
          </w:p>
        </w:tc>
      </w:tr>
      <w:tr w:rsidR="00ED4A31" w:rsidRPr="00A90CD5" w:rsidTr="00617B4C">
        <w:tc>
          <w:tcPr>
            <w:tcW w:w="2211" w:type="dxa"/>
            <w:tcBorders>
              <w:top w:val="nil"/>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color w:val="000000"/>
                <w:sz w:val="20"/>
                <w:szCs w:val="20"/>
              </w:rPr>
              <w:t>1</w:t>
            </w:r>
            <w:r w:rsidRPr="00A90CD5">
              <w:rPr>
                <w:rFonts w:ascii="ＭＳ 明朝" w:hAnsi="ＭＳ 明朝" w:hint="eastAsia"/>
                <w:color w:val="000000"/>
                <w:sz w:val="20"/>
                <w:szCs w:val="20"/>
              </w:rPr>
              <w:t xml:space="preserve">　鉄道の駅</w:t>
            </w:r>
          </w:p>
        </w:tc>
        <w:tc>
          <w:tcPr>
            <w:tcW w:w="425" w:type="dxa"/>
            <w:tcBorders>
              <w:top w:val="nil"/>
              <w:left w:val="nil"/>
              <w:bottom w:val="single" w:sz="4" w:space="0" w:color="000000"/>
              <w:right w:val="single" w:sz="4" w:space="0" w:color="000000"/>
            </w:tcBorders>
          </w:tcPr>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ED4A31" w:rsidRPr="00A90CD5" w:rsidTr="00617B4C">
        <w:tc>
          <w:tcPr>
            <w:tcW w:w="2211" w:type="dxa"/>
            <w:tcBorders>
              <w:top w:val="nil"/>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color w:val="000000"/>
                <w:sz w:val="20"/>
                <w:szCs w:val="20"/>
              </w:rPr>
              <w:t>2</w:t>
            </w:r>
            <w:r w:rsidRPr="00A90CD5">
              <w:rPr>
                <w:rFonts w:ascii="ＭＳ 明朝" w:hAnsi="ＭＳ 明朝" w:hint="eastAsia"/>
                <w:color w:val="000000"/>
                <w:sz w:val="20"/>
                <w:szCs w:val="20"/>
              </w:rPr>
              <w:t xml:space="preserve">　軌道の停留所</w:t>
            </w:r>
          </w:p>
        </w:tc>
        <w:tc>
          <w:tcPr>
            <w:tcW w:w="425" w:type="dxa"/>
            <w:tcBorders>
              <w:top w:val="nil"/>
              <w:left w:val="nil"/>
              <w:bottom w:val="single" w:sz="4" w:space="0" w:color="000000"/>
              <w:right w:val="single" w:sz="4" w:space="0" w:color="000000"/>
            </w:tcBorders>
          </w:tcPr>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ED4A31" w:rsidRPr="00A90CD5" w:rsidTr="00617B4C">
        <w:tc>
          <w:tcPr>
            <w:tcW w:w="2211" w:type="dxa"/>
            <w:tcBorders>
              <w:top w:val="nil"/>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color w:val="000000"/>
                <w:sz w:val="20"/>
                <w:szCs w:val="20"/>
              </w:rPr>
              <w:t>3</w:t>
            </w:r>
            <w:r w:rsidRPr="00A90CD5">
              <w:rPr>
                <w:rFonts w:ascii="ＭＳ 明朝" w:hAnsi="ＭＳ 明朝" w:hint="eastAsia"/>
                <w:color w:val="000000"/>
                <w:sz w:val="20"/>
                <w:szCs w:val="20"/>
              </w:rPr>
              <w:t xml:space="preserve">　港湾旅客施設</w:t>
            </w:r>
          </w:p>
        </w:tc>
        <w:tc>
          <w:tcPr>
            <w:tcW w:w="425" w:type="dxa"/>
            <w:tcBorders>
              <w:top w:val="nil"/>
              <w:left w:val="nil"/>
              <w:bottom w:val="single" w:sz="4" w:space="0" w:color="000000"/>
              <w:right w:val="single" w:sz="4" w:space="0" w:color="000000"/>
            </w:tcBorders>
          </w:tcPr>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ED4A31" w:rsidRPr="00A90CD5" w:rsidTr="00617B4C">
        <w:tc>
          <w:tcPr>
            <w:tcW w:w="2211" w:type="dxa"/>
            <w:tcBorders>
              <w:top w:val="nil"/>
              <w:left w:val="single" w:sz="4" w:space="0" w:color="000000"/>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color w:val="000000"/>
                <w:sz w:val="20"/>
                <w:szCs w:val="20"/>
              </w:rPr>
              <w:t>4</w:t>
            </w:r>
            <w:r w:rsidRPr="00A90CD5">
              <w:rPr>
                <w:rFonts w:ascii="ＭＳ 明朝" w:hAnsi="ＭＳ 明朝" w:hint="eastAsia"/>
                <w:color w:val="000000"/>
                <w:sz w:val="20"/>
                <w:szCs w:val="20"/>
              </w:rPr>
              <w:t xml:space="preserve">　バスターミナル等</w:t>
            </w:r>
          </w:p>
        </w:tc>
        <w:tc>
          <w:tcPr>
            <w:tcW w:w="425" w:type="dxa"/>
            <w:tcBorders>
              <w:top w:val="nil"/>
              <w:left w:val="nil"/>
              <w:bottom w:val="single" w:sz="4" w:space="0" w:color="000000"/>
              <w:right w:val="single" w:sz="4" w:space="0" w:color="000000"/>
            </w:tcBorders>
          </w:tcPr>
          <w:p w:rsidR="00ED4A31" w:rsidRPr="00BC78F5" w:rsidRDefault="00ED4A31" w:rsidP="00617B4C">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rsidR="00ED4A31" w:rsidRPr="00A90CD5" w:rsidRDefault="00ED4A31" w:rsidP="00617B4C">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bl>
    <w:p w:rsidR="00ED4A31" w:rsidRPr="00A90CD5" w:rsidRDefault="00ED4A31" w:rsidP="00ED4A31">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（備考）</w:t>
      </w:r>
    </w:p>
    <w:p w:rsidR="00ED4A31" w:rsidRPr="00A90CD5" w:rsidRDefault="00ED4A31" w:rsidP="00ED4A31">
      <w:pPr>
        <w:spacing w:line="240" w:lineRule="exact"/>
        <w:ind w:left="400" w:hangingChars="200" w:hanging="400"/>
        <w:jc w:val="left"/>
        <w:rPr>
          <w:rFonts w:ascii="ＭＳ 明朝" w:hAnsi="ＭＳ 明朝"/>
          <w:color w:val="000000"/>
          <w:sz w:val="20"/>
          <w:szCs w:val="20"/>
        </w:rPr>
      </w:pPr>
      <w:r w:rsidRPr="00D659E4">
        <w:rPr>
          <w:rFonts w:ascii="ＭＳ 明朝" w:hAnsi="ＭＳ 明朝" w:hint="eastAsia"/>
          <w:color w:val="000000"/>
          <w:sz w:val="20"/>
          <w:szCs w:val="20"/>
          <w:u w:val="single"/>
        </w:rPr>
        <w:t xml:space="preserve">１　</w:t>
      </w:r>
      <w:r w:rsidRPr="00A90CD5">
        <w:rPr>
          <w:rFonts w:ascii="ＭＳ 明朝" w:hAnsi="ＭＳ 明朝" w:hint="eastAsia"/>
          <w:color w:val="000000"/>
          <w:sz w:val="20"/>
          <w:szCs w:val="20"/>
        </w:rPr>
        <w:t>○印は、整備項目の欄に掲げるものが、当該各項に掲げる区分の公共交通機関の施設にそれぞれ適用されるものであることを示す。</w:t>
      </w:r>
    </w:p>
    <w:p w:rsidR="00ED4A31" w:rsidRPr="0002618F" w:rsidRDefault="00ED4A31" w:rsidP="00ED4A31">
      <w:pPr>
        <w:spacing w:line="240" w:lineRule="exact"/>
        <w:ind w:left="400" w:hangingChars="200" w:hanging="400"/>
        <w:jc w:val="left"/>
        <w:rPr>
          <w:rFonts w:ascii="ＭＳ 明朝" w:hAnsi="ＭＳ 明朝"/>
          <w:color w:val="000000"/>
          <w:sz w:val="20"/>
          <w:szCs w:val="20"/>
          <w:u w:val="single"/>
        </w:rPr>
      </w:pPr>
      <w:r w:rsidRPr="0002618F">
        <w:rPr>
          <w:rFonts w:ascii="ＭＳ 明朝" w:hAnsi="ＭＳ 明朝" w:hint="eastAsia"/>
          <w:color w:val="000000"/>
          <w:sz w:val="20"/>
          <w:szCs w:val="20"/>
          <w:u w:val="single"/>
        </w:rPr>
        <w:t>２</w:t>
      </w:r>
      <w:r>
        <w:rPr>
          <w:rFonts w:ascii="ＭＳ 明朝" w:hAnsi="ＭＳ 明朝" w:hint="eastAsia"/>
          <w:color w:val="000000"/>
          <w:sz w:val="20"/>
          <w:szCs w:val="20"/>
        </w:rPr>
        <w:t xml:space="preserve">　</w:t>
      </w:r>
      <w:r w:rsidRPr="0002618F">
        <w:rPr>
          <w:rFonts w:ascii="ＭＳ 明朝" w:hAnsi="ＭＳ 明朝" w:hint="eastAsia"/>
          <w:color w:val="000000"/>
          <w:sz w:val="20"/>
          <w:szCs w:val="20"/>
          <w:u w:val="single"/>
        </w:rPr>
        <w:t>当該３の項及び４の項に掲げる区分の施設については、別表第８の１の項(9)に規定する整備基準は、適用しない。</w:t>
      </w:r>
    </w:p>
    <w:p w:rsidR="00ED4A31" w:rsidRPr="00ED4A31" w:rsidRDefault="00ED4A31"/>
    <w:p w:rsidR="00ED4A31" w:rsidRDefault="00ED4A31"/>
    <w:p w:rsidR="00ED4A31" w:rsidRDefault="00ED4A31" w:rsidP="00ED4A31"/>
    <w:p w:rsidR="00ED4A31" w:rsidRPr="00ED4A31" w:rsidRDefault="00ED4A31" w:rsidP="00ED4A31">
      <w:pPr>
        <w:jc w:val="right"/>
      </w:pPr>
    </w:p>
    <w:sectPr w:rsidR="00ED4A31" w:rsidRPr="00ED4A3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A31" w:rsidRDefault="00ED4A31" w:rsidP="00ED4A31">
      <w:r>
        <w:separator/>
      </w:r>
    </w:p>
  </w:endnote>
  <w:endnote w:type="continuationSeparator" w:id="0">
    <w:p w:rsidR="00ED4A31" w:rsidRDefault="00ED4A31" w:rsidP="00E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488900"/>
      <w:docPartObj>
        <w:docPartGallery w:val="Page Numbers (Bottom of Page)"/>
        <w:docPartUnique/>
      </w:docPartObj>
    </w:sdtPr>
    <w:sdtEndPr/>
    <w:sdtContent>
      <w:p w:rsidR="00ED4A31" w:rsidRDefault="00ED4A31">
        <w:pPr>
          <w:pStyle w:val="a5"/>
          <w:jc w:val="center"/>
        </w:pPr>
        <w:r>
          <w:fldChar w:fldCharType="begin"/>
        </w:r>
        <w:r>
          <w:instrText>PAGE   \* MERGEFORMAT</w:instrText>
        </w:r>
        <w:r>
          <w:fldChar w:fldCharType="separate"/>
        </w:r>
        <w:r w:rsidR="00C22D0D" w:rsidRPr="00C22D0D">
          <w:rPr>
            <w:noProof/>
            <w:lang w:val="ja-JP"/>
          </w:rPr>
          <w:t>7</w:t>
        </w:r>
        <w:r>
          <w:fldChar w:fldCharType="end"/>
        </w:r>
        <w:r w:rsidR="00A66F55">
          <w:rPr>
            <w:rFonts w:hint="eastAsia"/>
          </w:rPr>
          <w:t>/7</w:t>
        </w:r>
      </w:p>
    </w:sdtContent>
  </w:sdt>
  <w:p w:rsidR="00ED4A31" w:rsidRDefault="00ED4A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A31" w:rsidRDefault="00ED4A31" w:rsidP="00ED4A31">
      <w:r>
        <w:separator/>
      </w:r>
    </w:p>
  </w:footnote>
  <w:footnote w:type="continuationSeparator" w:id="0">
    <w:p w:rsidR="00ED4A31" w:rsidRDefault="00ED4A31" w:rsidP="00ED4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B4C7C"/>
    <w:multiLevelType w:val="hybridMultilevel"/>
    <w:tmpl w:val="01A46E4E"/>
    <w:lvl w:ilvl="0" w:tplc="E34EE2B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31"/>
    <w:rsid w:val="003A175B"/>
    <w:rsid w:val="00630AB8"/>
    <w:rsid w:val="0068383B"/>
    <w:rsid w:val="00A66F55"/>
    <w:rsid w:val="00B971A0"/>
    <w:rsid w:val="00C22D0D"/>
    <w:rsid w:val="00ED4A31"/>
    <w:rsid w:val="00F95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26FEAB3-BA48-44F7-868C-B7B05FDE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A31"/>
    <w:pPr>
      <w:tabs>
        <w:tab w:val="center" w:pos="4252"/>
        <w:tab w:val="right" w:pos="8504"/>
      </w:tabs>
      <w:snapToGrid w:val="0"/>
    </w:pPr>
  </w:style>
  <w:style w:type="character" w:customStyle="1" w:styleId="a4">
    <w:name w:val="ヘッダー (文字)"/>
    <w:basedOn w:val="a0"/>
    <w:link w:val="a3"/>
    <w:uiPriority w:val="99"/>
    <w:rsid w:val="00ED4A31"/>
    <w:rPr>
      <w:rFonts w:ascii="Century" w:eastAsia="ＭＳ 明朝" w:hAnsi="Century" w:cs="Times New Roman"/>
      <w:szCs w:val="24"/>
    </w:rPr>
  </w:style>
  <w:style w:type="paragraph" w:styleId="a5">
    <w:name w:val="footer"/>
    <w:basedOn w:val="a"/>
    <w:link w:val="a6"/>
    <w:uiPriority w:val="99"/>
    <w:unhideWhenUsed/>
    <w:rsid w:val="00ED4A31"/>
    <w:pPr>
      <w:tabs>
        <w:tab w:val="center" w:pos="4252"/>
        <w:tab w:val="right" w:pos="8504"/>
      </w:tabs>
      <w:snapToGrid w:val="0"/>
    </w:pPr>
  </w:style>
  <w:style w:type="character" w:customStyle="1" w:styleId="a6">
    <w:name w:val="フッター (文字)"/>
    <w:basedOn w:val="a0"/>
    <w:link w:val="a5"/>
    <w:uiPriority w:val="99"/>
    <w:rsid w:val="00ED4A31"/>
    <w:rPr>
      <w:rFonts w:ascii="Century" w:eastAsia="ＭＳ 明朝" w:hAnsi="Century" w:cs="Times New Roman"/>
      <w:szCs w:val="24"/>
    </w:rPr>
  </w:style>
  <w:style w:type="paragraph" w:styleId="a7">
    <w:name w:val="annotation text"/>
    <w:basedOn w:val="a"/>
    <w:link w:val="a8"/>
    <w:uiPriority w:val="99"/>
    <w:semiHidden/>
    <w:unhideWhenUsed/>
    <w:rsid w:val="00ED4A31"/>
    <w:pPr>
      <w:jc w:val="left"/>
    </w:pPr>
  </w:style>
  <w:style w:type="character" w:customStyle="1" w:styleId="a8">
    <w:name w:val="コメント文字列 (文字)"/>
    <w:basedOn w:val="a0"/>
    <w:link w:val="a7"/>
    <w:uiPriority w:val="99"/>
    <w:semiHidden/>
    <w:rsid w:val="00ED4A31"/>
    <w:rPr>
      <w:rFonts w:ascii="Century" w:eastAsia="ＭＳ 明朝" w:hAnsi="Century" w:cs="Times New Roman"/>
      <w:szCs w:val="24"/>
    </w:rPr>
  </w:style>
  <w:style w:type="character" w:styleId="a9">
    <w:name w:val="annotation reference"/>
    <w:semiHidden/>
    <w:rsid w:val="00ED4A31"/>
    <w:rPr>
      <w:rFonts w:cs="Times New Roman"/>
      <w:sz w:val="18"/>
      <w:szCs w:val="18"/>
    </w:rPr>
  </w:style>
  <w:style w:type="paragraph" w:styleId="aa">
    <w:name w:val="Balloon Text"/>
    <w:basedOn w:val="a"/>
    <w:link w:val="ab"/>
    <w:uiPriority w:val="99"/>
    <w:semiHidden/>
    <w:unhideWhenUsed/>
    <w:rsid w:val="00ED4A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4A31"/>
    <w:rPr>
      <w:rFonts w:asciiTheme="majorHAnsi" w:eastAsiaTheme="majorEastAsia" w:hAnsiTheme="majorHAnsi" w:cstheme="majorBidi"/>
      <w:sz w:val="18"/>
      <w:szCs w:val="18"/>
    </w:rPr>
  </w:style>
  <w:style w:type="paragraph" w:styleId="ac">
    <w:name w:val="List Paragraph"/>
    <w:basedOn w:val="a"/>
    <w:uiPriority w:val="34"/>
    <w:qFormat/>
    <w:rsid w:val="00A66F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A968-73C5-4699-9F00-1ECF4D2F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1263</Words>
  <Characters>7202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清水 瑠音</cp:lastModifiedBy>
  <cp:revision>5</cp:revision>
  <dcterms:created xsi:type="dcterms:W3CDTF">2019-11-26T10:36:00Z</dcterms:created>
  <dcterms:modified xsi:type="dcterms:W3CDTF">2019-11-29T00:13:00Z</dcterms:modified>
</cp:coreProperties>
</file>