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AE" w:rsidRPr="00D567AC" w:rsidRDefault="00710505" w:rsidP="00A277AE">
      <w:pPr>
        <w:rPr>
          <w:rFonts w:ascii="HGP創英角ｺﾞｼｯｸUB" w:eastAsia="HGP創英角ｺﾞｼｯｸUB" w:hAnsi="HGP創英角ｺﾞｼｯｸUB"/>
          <w:sz w:val="28"/>
        </w:rPr>
      </w:pPr>
      <w:bookmarkStart w:id="0" w:name="_Toc365633503"/>
      <w:bookmarkStart w:id="1" w:name="_Toc365633551"/>
      <w:bookmarkStart w:id="2" w:name="_Toc366531652"/>
      <w:bookmarkStart w:id="3" w:name="_GoBack"/>
      <w:bookmarkEnd w:id="3"/>
      <w:r>
        <w:rPr>
          <w:rFonts w:ascii="HGP創英角ｺﾞｼｯｸUB" w:eastAsia="HGP創英角ｺﾞｼｯｸUB" w:hAnsi="HGP創英角ｺﾞｼｯｸUB" w:hint="eastAsia"/>
          <w:sz w:val="28"/>
        </w:rPr>
        <w:t>第２</w:t>
      </w:r>
      <w:r w:rsidR="00A277AE" w:rsidRPr="00D567AC">
        <w:rPr>
          <w:rFonts w:ascii="HGP創英角ｺﾞｼｯｸUB" w:eastAsia="HGP創英角ｺﾞｼｯｸUB" w:hAnsi="HGP創英角ｺﾞｼｯｸUB" w:hint="eastAsia"/>
          <w:sz w:val="28"/>
        </w:rPr>
        <w:t xml:space="preserve">章　</w:t>
      </w:r>
      <w:r>
        <w:rPr>
          <w:rFonts w:ascii="HGP創英角ｺﾞｼｯｸUB" w:eastAsia="HGP創英角ｺﾞｼｯｸUB" w:hAnsi="HGP創英角ｺﾞｼｯｸUB" w:hint="eastAsia"/>
          <w:sz w:val="28"/>
        </w:rPr>
        <w:t>中長期的な戦略</w:t>
      </w:r>
      <w:bookmarkEnd w:id="0"/>
      <w:bookmarkEnd w:id="1"/>
      <w:bookmarkEnd w:id="2"/>
    </w:p>
    <w:p w:rsidR="00A277AE" w:rsidRDefault="00A277AE"/>
    <w:p w:rsidR="00A277AE" w:rsidRDefault="00710505">
      <w:r>
        <w:rPr>
          <w:rFonts w:hint="eastAsia"/>
        </w:rPr>
        <w:t>2030年を展望した６つの戦略をお示しします。</w:t>
      </w:r>
    </w:p>
    <w:p w:rsidR="00A277AE" w:rsidRDefault="0071050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</wp:posOffset>
                </wp:positionH>
                <wp:positionV relativeFrom="paragraph">
                  <wp:posOffset>120419</wp:posOffset>
                </wp:positionV>
                <wp:extent cx="6068291" cy="914400"/>
                <wp:effectExtent l="0" t="0" r="2794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05" w:rsidRDefault="00710505" w:rsidP="0061586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5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戦略</w:t>
                            </w:r>
                            <w:r w:rsidRPr="0071050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力強い経済成長と文化芸術創造都市の実現</w:t>
                            </w:r>
                          </w:p>
                          <w:p w:rsidR="00982F6F" w:rsidRPr="006E39D9" w:rsidRDefault="00F73D68" w:rsidP="00F73D68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3D6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企業集積の強みやオープンイノベーションの推進、文化芸術、観光・ＭＩＣＥ、スポーツの力により、新たな価値・産業・賑わいを創出します。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.05pt;margin-top:9.5pt;width:477.8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" fillcolor="#deeaf6 [660]" strokecolor="black [3213]" strokeweight="1pt">
                <v:textbox>
                  <w:txbxContent>
                    <w:p w:rsidR="00710505" w:rsidRDefault="00710505" w:rsidP="0061586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105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戦略</w:t>
                      </w:r>
                      <w:r w:rsidRPr="0071050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１　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力強い経済成長と文化芸術創造都市の実現</w:t>
                      </w:r>
                    </w:p>
                    <w:p w:rsidR="00982F6F" w:rsidRPr="006E39D9" w:rsidRDefault="00F73D68" w:rsidP="00F73D68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73D6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企業集積の強みやオープンイノベーションの推進、文化芸術、観光・ＭＩＣＥ、スポーツの力により、新たな価値・産業・賑わいを創出します。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277AE" w:rsidRDefault="00A277AE"/>
    <w:p w:rsidR="00A277AE" w:rsidRDefault="00A277AE"/>
    <w:p w:rsidR="00A277AE" w:rsidRDefault="00A277AE"/>
    <w:p w:rsidR="00A277AE" w:rsidRDefault="00A277AE"/>
    <w:p w:rsidR="00A277AE" w:rsidRDefault="0071050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B08E11" wp14:editId="0346D31C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068291" cy="914400"/>
                <wp:effectExtent l="0" t="0" r="279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914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505" w:rsidRDefault="008F7B5A" w:rsidP="0061586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戦略２　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花と緑にあふれる環境先進都市</w:t>
                            </w:r>
                          </w:p>
                          <w:p w:rsidR="00982F6F" w:rsidRPr="00F63DDA" w:rsidRDefault="00F63DDA" w:rsidP="00F63DDA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5B6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花</w:t>
                            </w:r>
                            <w:r w:rsidRPr="00D55B2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と緑あふれるガーデンシティ横浜を市民・企業との連携により展開するとともに、ＳＤＧｓやパリ協定の視点を踏まえた環境政策で世界をリードし、自然共生と経済発展を実現します。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08E11" id="正方形/長方形 8" o:spid="_x0000_s1027" style="position:absolute;left:0;text-align:left;margin-left:0;margin-top:1.65pt;width:477.8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" fillcolor="#deebf7" strokecolor="windowText" strokeweight="1pt">
                <v:textbox>
                  <w:txbxContent>
                    <w:p w:rsidR="00710505" w:rsidRDefault="008F7B5A" w:rsidP="0061586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戦略２　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花と緑にあふれる環境先進都市</w:t>
                      </w:r>
                    </w:p>
                    <w:p w:rsidR="00982F6F" w:rsidRPr="00F63DDA" w:rsidRDefault="00F63DDA" w:rsidP="00F63DDA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F35B6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花</w:t>
                      </w:r>
                      <w:r w:rsidRPr="00D55B2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と緑あふれるガーデンシティ横浜を市民・企業との連携により展開するとともに、ＳＤＧｓやパリ協定の視点を踏まえた環境政策で世界をリードし、自然共生と経済発展を実現します。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277AE" w:rsidRDefault="00A277AE"/>
    <w:p w:rsidR="00A277AE" w:rsidRDefault="00A277AE"/>
    <w:p w:rsidR="00A277AE" w:rsidRDefault="00A277AE"/>
    <w:p w:rsidR="00A277AE" w:rsidRDefault="00982F6F">
      <w:r w:rsidRPr="0071050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AE1679" wp14:editId="7CA0FE83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068060" cy="914400"/>
                <wp:effectExtent l="0" t="0" r="2794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914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505" w:rsidRDefault="00710505" w:rsidP="0071050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5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戦略３　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超高齢社会への挑戦</w:t>
                            </w:r>
                          </w:p>
                          <w:p w:rsidR="00982F6F" w:rsidRPr="006E39D9" w:rsidRDefault="00982F6F" w:rsidP="00982F6F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39D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超高齢社会への挑戦として、いつまでも健康で生きがいを実感し、誰もが住み慣れた地域で安心して</w:t>
                            </w:r>
                            <w:r w:rsidR="00F56361" w:rsidRPr="008F62B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いきいき</w:t>
                            </w:r>
                            <w:r w:rsidRPr="006E39D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と暮らせる地域社会を実現します。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AE1679" id="正方形/長方形 9" o:spid="_x0000_s1028" style="position:absolute;left:0;text-align:left;margin-left:0;margin-top:13.45pt;width:477.8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" fillcolor="#deebf7" strokecolor="windowText" strokeweight="1pt">
                <v:textbox>
                  <w:txbxContent>
                    <w:p w:rsidR="00710505" w:rsidRDefault="00710505" w:rsidP="0071050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105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戦略３　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超高齢社会への挑戦</w:t>
                      </w:r>
                    </w:p>
                    <w:p w:rsidR="00982F6F" w:rsidRPr="006E39D9" w:rsidRDefault="00982F6F" w:rsidP="00982F6F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6E39D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超高齢社会への挑戦として、いつまでも健康で生きがいを実感し、誰もが住み慣れた地域で安心して</w:t>
                      </w:r>
                      <w:r w:rsidR="00F56361" w:rsidRPr="008F62B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いきいき</w:t>
                      </w:r>
                      <w:bookmarkStart w:id="4" w:name="_GoBack"/>
                      <w:bookmarkEnd w:id="4"/>
                      <w:r w:rsidRPr="006E39D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と暮らせる地域社会を実現します。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277AE" w:rsidRDefault="00A277AE"/>
    <w:p w:rsidR="00A277AE" w:rsidRDefault="00A277AE"/>
    <w:p w:rsidR="00710505" w:rsidRDefault="00710505"/>
    <w:p w:rsidR="00710505" w:rsidRDefault="00710505"/>
    <w:p w:rsidR="00710505" w:rsidRDefault="00982F6F">
      <w:r w:rsidRPr="007105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C593C" wp14:editId="4B68193B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6068060" cy="1907540"/>
                <wp:effectExtent l="0" t="0" r="27940" b="1651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75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505" w:rsidRDefault="00710505" w:rsidP="0061586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5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戦略４　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人が、企業が集い躍動するまちづくり</w:t>
                            </w:r>
                          </w:p>
                          <w:p w:rsidR="00982F6F" w:rsidRPr="00982F6F" w:rsidRDefault="00982F6F" w:rsidP="00982F6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2F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</w:t>
                            </w:r>
                            <w:r w:rsidRPr="00982F6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982F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成長と活力を生み出す都心部</w:t>
                            </w:r>
                          </w:p>
                          <w:p w:rsidR="00982F6F" w:rsidRPr="006E39D9" w:rsidRDefault="00982F6F" w:rsidP="00982F6F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39D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横浜の成長をけん引するエリア（都心臨海部・京浜臨海部・新横浜都心周辺等）の魅力をより一層向上させ、国内外から人や企業が集い活力を生み出す都心部を実現します。</w:t>
                            </w:r>
                          </w:p>
                          <w:p w:rsidR="00982F6F" w:rsidRPr="00982F6F" w:rsidRDefault="00982F6F" w:rsidP="00982F6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2F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（２）誰もが「住みたい」「住み続けたい」と思える郊外部</w:t>
                            </w:r>
                          </w:p>
                          <w:p w:rsidR="00982F6F" w:rsidRPr="006E39D9" w:rsidRDefault="0068128B" w:rsidP="0068128B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128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駅周辺の機能強化、自然豊かで良好な住環境、それらをつなぐ地域交通の充実などにより、誰もが愛着を持ち、「住みたい」「住み続けたい」と思える郊外部を実現します。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C593C" id="正方形/長方形 10" o:spid="_x0000_s1029" style="position:absolute;left:0;text-align:left;margin-left:.3pt;margin-top:7.75pt;width:477.8pt;height:15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" fillcolor="#deebf7" strokecolor="windowText" strokeweight="1pt">
                <v:textbox>
                  <w:txbxContent>
                    <w:p w:rsidR="00710505" w:rsidRDefault="00710505" w:rsidP="0061586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105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戦略４　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人が、企業が集い躍動するまちづくり</w:t>
                      </w:r>
                    </w:p>
                    <w:p w:rsidR="00982F6F" w:rsidRPr="00982F6F" w:rsidRDefault="00982F6F" w:rsidP="00982F6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82F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（１</w:t>
                      </w:r>
                      <w:r w:rsidRPr="00982F6F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982F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成長と活力を生み出す都心部</w:t>
                      </w:r>
                    </w:p>
                    <w:p w:rsidR="00982F6F" w:rsidRPr="006E39D9" w:rsidRDefault="00982F6F" w:rsidP="00982F6F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6E39D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横浜の成長をけん引するエリア（都心臨海部・京浜臨海部・新横浜都心周辺等）の魅力をより一層向上させ、国内外から人や企業が集い活力を生み出す都心部を実現します。</w:t>
                      </w:r>
                    </w:p>
                    <w:p w:rsidR="00982F6F" w:rsidRPr="00982F6F" w:rsidRDefault="00982F6F" w:rsidP="00982F6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82F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（２）誰もが「住みたい」「住み続けたい」と思える郊外部</w:t>
                      </w:r>
                    </w:p>
                    <w:p w:rsidR="00982F6F" w:rsidRPr="006E39D9" w:rsidRDefault="0068128B" w:rsidP="0068128B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68128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駅周辺の機能強化、自然豊かで良好な住環境、それらをつなぐ地域交通の充実などにより、誰もが愛着を持ち、「住みたい」「住み続けたい」と思える郊外部を実現します。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10505" w:rsidRDefault="00710505"/>
    <w:p w:rsidR="00710505" w:rsidRDefault="00710505"/>
    <w:p w:rsidR="00710505" w:rsidRDefault="00710505"/>
    <w:p w:rsidR="00710505" w:rsidRDefault="00710505"/>
    <w:p w:rsidR="00710505" w:rsidRDefault="00710505"/>
    <w:p w:rsidR="00710505" w:rsidRDefault="00710505"/>
    <w:p w:rsidR="00710505" w:rsidRDefault="00710505"/>
    <w:p w:rsidR="00710505" w:rsidRDefault="00710505"/>
    <w:p w:rsidR="00710505" w:rsidRDefault="00982F6F">
      <w:r w:rsidRPr="007105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AE1679" wp14:editId="7CA0FE83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068060" cy="914400"/>
                <wp:effectExtent l="0" t="0" r="2794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914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505" w:rsidRDefault="00710505" w:rsidP="0061586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5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戦略５　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未来を創る</w:t>
                            </w:r>
                            <w:r w:rsidR="0005172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多様な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人づくり</w:t>
                            </w:r>
                          </w:p>
                          <w:p w:rsidR="00982F6F" w:rsidRPr="006E39D9" w:rsidRDefault="005852D2" w:rsidP="005852D2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52D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子育て・教育環境の充実や、女性・シニア・若者の活躍支援など、横浜の未来を創るあらゆる人への投資を推進し、ポテンシャルを存分に発揮できる都市を実現します。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AE1679" id="正方形/長方形 11" o:spid="_x0000_s1030" style="position:absolute;left:0;text-align:left;margin-left:0;margin-top:8.2pt;width:477.8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" fillcolor="#deebf7" strokecolor="windowText" strokeweight="1pt">
                <v:textbox>
                  <w:txbxContent>
                    <w:p w:rsidR="00710505" w:rsidRDefault="00710505" w:rsidP="0061586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105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戦略５　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未来を創る</w:t>
                      </w:r>
                      <w:r w:rsidR="0005172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多様な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人づくり</w:t>
                      </w:r>
                    </w:p>
                    <w:p w:rsidR="00982F6F" w:rsidRPr="006E39D9" w:rsidRDefault="005852D2" w:rsidP="005852D2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5852D2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子育て・教育環境の充実や、女性・シニア・若者の活躍支援など、横浜の未来を創るあらゆる人への投資を推進し、ポテンシャルを存分に発揮できる都市を実現します。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10505" w:rsidRDefault="00710505"/>
    <w:p w:rsidR="00710505" w:rsidRDefault="00710505"/>
    <w:p w:rsidR="00710505" w:rsidRDefault="00710505"/>
    <w:p w:rsidR="00710505" w:rsidRDefault="00710505"/>
    <w:p w:rsidR="00710505" w:rsidRDefault="00982F6F">
      <w:r w:rsidRPr="007105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2C593C" wp14:editId="4B68193B">
                <wp:simplePos x="0" y="0"/>
                <wp:positionH relativeFrom="column">
                  <wp:posOffset>-5715</wp:posOffset>
                </wp:positionH>
                <wp:positionV relativeFrom="paragraph">
                  <wp:posOffset>31750</wp:posOffset>
                </wp:positionV>
                <wp:extent cx="6068060" cy="1908000"/>
                <wp:effectExtent l="0" t="0" r="27940" b="1651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08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505" w:rsidRDefault="00710505" w:rsidP="0061586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5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戦略６　</w:t>
                            </w:r>
                            <w:r w:rsidR="00615869" w:rsidRPr="006158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未来を創る強靱な都市づくり</w:t>
                            </w:r>
                          </w:p>
                          <w:p w:rsidR="00982F6F" w:rsidRPr="00982F6F" w:rsidRDefault="00982F6F" w:rsidP="00982F6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（１）</w:t>
                            </w:r>
                            <w:r w:rsidR="002D56F7" w:rsidRPr="002D56F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災害に強い安全で安心な都市</w:t>
                            </w:r>
                          </w:p>
                          <w:p w:rsidR="0068363A" w:rsidRPr="0068363A" w:rsidRDefault="0068363A" w:rsidP="0068363A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363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防災・減災機</w:t>
                            </w:r>
                            <w:r w:rsidRPr="00D55B2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能を備えた都市づくり、災害に強い人づくり・地域づくりを進め、市民の生命と財産を守る、災害に強い安全で安心な都市を実現します。</w:t>
                            </w:r>
                          </w:p>
                          <w:p w:rsidR="00982F6F" w:rsidRPr="00982F6F" w:rsidRDefault="00982F6F" w:rsidP="00982F6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2F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（２）市民生活と経済活動を支える都市基盤</w:t>
                            </w:r>
                          </w:p>
                          <w:p w:rsidR="00982F6F" w:rsidRPr="006E39D9" w:rsidRDefault="002D56F7" w:rsidP="002D56F7">
                            <w:pPr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D56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道路・鉄道・港湾などの都市インフラの充実、公共施設の計画的かつ効果的な保全・更新を進め、将来にわたり市民生活と経済活動を支える都市基盤を実現します。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C593C" id="正方形/長方形 12" o:spid="_x0000_s1031" style="position:absolute;left:0;text-align:left;margin-left:-.45pt;margin-top:2.5pt;width:477.8pt;height:1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" fillcolor="#deebf7" strokecolor="windowText" strokeweight="1pt">
                <v:textbox>
                  <w:txbxContent>
                    <w:p w:rsidR="00710505" w:rsidRDefault="00710505" w:rsidP="0061586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105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戦略６　</w:t>
                      </w:r>
                      <w:r w:rsidR="00615869" w:rsidRPr="006158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未来を創る強靱な都市づくり</w:t>
                      </w:r>
                    </w:p>
                    <w:p w:rsidR="00982F6F" w:rsidRPr="00982F6F" w:rsidRDefault="00982F6F" w:rsidP="00982F6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（１）</w:t>
                      </w:r>
                      <w:r w:rsidR="002D56F7" w:rsidRPr="002D56F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災害に強い安全で安心な都市</w:t>
                      </w:r>
                    </w:p>
                    <w:p w:rsidR="0068363A" w:rsidRPr="0068363A" w:rsidRDefault="0068363A" w:rsidP="0068363A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68363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防災・減災機</w:t>
                      </w:r>
                      <w:r w:rsidRPr="00D55B2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能を備えた都市づくり、災害に強い人づくり・地域づくりを進め、市民の生命と財産を守る、災害に強い安全で安心な都市を実現します。</w:t>
                      </w:r>
                    </w:p>
                    <w:p w:rsidR="00982F6F" w:rsidRPr="00982F6F" w:rsidRDefault="00982F6F" w:rsidP="00982F6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82F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（２）市民生活と経済活動を支える都市基盤</w:t>
                      </w:r>
                    </w:p>
                    <w:p w:rsidR="00982F6F" w:rsidRPr="006E39D9" w:rsidRDefault="002D56F7" w:rsidP="002D56F7">
                      <w:pPr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2D56F7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道路・鉄道・港湾などの都市インフラの充実、公共施設の計画的かつ効果的な保全・更新を進め、将来にわたり市民生活と経済活動を支える都市基盤を実現します。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10505" w:rsidRDefault="00710505"/>
    <w:p w:rsidR="00710505" w:rsidRDefault="00710505"/>
    <w:p w:rsidR="00710505" w:rsidRDefault="00710505"/>
    <w:p w:rsidR="00A277AE" w:rsidRDefault="00A277AE"/>
    <w:p w:rsidR="00A277AE" w:rsidRDefault="00A277AE"/>
    <w:sectPr w:rsidR="00A277AE" w:rsidSect="00474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283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02" w:rsidRDefault="00161F02" w:rsidP="004E2133">
      <w:r>
        <w:separator/>
      </w:r>
    </w:p>
  </w:endnote>
  <w:endnote w:type="continuationSeparator" w:id="0">
    <w:p w:rsidR="00161F02" w:rsidRDefault="00161F02" w:rsidP="004E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55" w:rsidRDefault="00D563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1D" w:rsidRPr="00D56355" w:rsidRDefault="00B45D1D" w:rsidP="00D563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55" w:rsidRDefault="00D563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02" w:rsidRDefault="00161F02" w:rsidP="004E2133">
      <w:r>
        <w:separator/>
      </w:r>
    </w:p>
  </w:footnote>
  <w:footnote w:type="continuationSeparator" w:id="0">
    <w:p w:rsidR="00161F02" w:rsidRDefault="00161F02" w:rsidP="004E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55" w:rsidRDefault="00D563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1D" w:rsidRPr="00D56355" w:rsidRDefault="00B45D1D" w:rsidP="00D5635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355" w:rsidRDefault="00D563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AE"/>
    <w:rsid w:val="0002158E"/>
    <w:rsid w:val="0005172F"/>
    <w:rsid w:val="000560D0"/>
    <w:rsid w:val="0008086D"/>
    <w:rsid w:val="00153D7D"/>
    <w:rsid w:val="00161F02"/>
    <w:rsid w:val="002143F2"/>
    <w:rsid w:val="00287338"/>
    <w:rsid w:val="0029332F"/>
    <w:rsid w:val="002D56F7"/>
    <w:rsid w:val="003E0944"/>
    <w:rsid w:val="003F5D41"/>
    <w:rsid w:val="00474F18"/>
    <w:rsid w:val="004E2133"/>
    <w:rsid w:val="005852D2"/>
    <w:rsid w:val="00615869"/>
    <w:rsid w:val="0068128B"/>
    <w:rsid w:val="0068363A"/>
    <w:rsid w:val="00695919"/>
    <w:rsid w:val="006E39D9"/>
    <w:rsid w:val="00710505"/>
    <w:rsid w:val="008F62BC"/>
    <w:rsid w:val="008F7B5A"/>
    <w:rsid w:val="00982F6F"/>
    <w:rsid w:val="009C604C"/>
    <w:rsid w:val="00A277AE"/>
    <w:rsid w:val="00B45D1D"/>
    <w:rsid w:val="00BA6CEB"/>
    <w:rsid w:val="00C55122"/>
    <w:rsid w:val="00CA053E"/>
    <w:rsid w:val="00D55B25"/>
    <w:rsid w:val="00D56355"/>
    <w:rsid w:val="00E31B75"/>
    <w:rsid w:val="00EA6FB8"/>
    <w:rsid w:val="00F35B68"/>
    <w:rsid w:val="00F56361"/>
    <w:rsid w:val="00F63A6A"/>
    <w:rsid w:val="00F63DDA"/>
    <w:rsid w:val="00F73D68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A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2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2133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4E2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213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2019-03-08T00:45:00Z</dcterms:created>
  <dcterms:modified xsi:type="dcterms:W3CDTF">2019-03-08T00:45:00Z</dcterms:modified>
</cp:coreProperties>
</file>