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76FE1808" w:rsidR="00DB7E91" w:rsidRPr="0097494D" w:rsidRDefault="00D94311" w:rsidP="0097494D">
            <w:pPr>
              <w:tabs>
                <w:tab w:val="left" w:pos="8820"/>
              </w:tabs>
              <w:rPr>
                <w:sz w:val="24"/>
              </w:rPr>
            </w:pPr>
            <w:r w:rsidRPr="00D94311">
              <w:rPr>
                <w:rFonts w:hint="eastAsia"/>
                <w:sz w:val="24"/>
              </w:rPr>
              <w:t>横浜市鶴見スポーツセンタートイレ洋式化等委託</w:t>
            </w:r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8013D"/>
    <w:rsid w:val="00D94311"/>
    <w:rsid w:val="00DB7E91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2023-09-05T22:40:00Z</dcterms:created>
  <dcterms:modified xsi:type="dcterms:W3CDTF">2024-12-11T06:33:00Z</dcterms:modified>
</cp:coreProperties>
</file>